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F4" w:rsidRPr="00A35C16" w:rsidRDefault="008E03F4" w:rsidP="00137B04">
      <w:pPr>
        <w:jc w:val="center"/>
        <w:rPr>
          <w:rFonts w:ascii="Arial" w:hAnsi="Arial" w:cs="Arial"/>
          <w:b/>
          <w:lang w:val="es-ES"/>
        </w:rPr>
      </w:pPr>
      <w:bookmarkStart w:id="0" w:name="_GoBack"/>
      <w:bookmarkEnd w:id="0"/>
      <w:r w:rsidRPr="00A35C16">
        <w:rPr>
          <w:rFonts w:ascii="Arial" w:hAnsi="Arial" w:cs="Arial"/>
          <w:b/>
          <w:lang w:val="es-ES"/>
        </w:rPr>
        <w:t>PONENCIA PARA EL PROCESO DE TRANSICIÓN</w:t>
      </w:r>
    </w:p>
    <w:p w:rsidR="0003323A" w:rsidRPr="00A35C16" w:rsidRDefault="0003323A" w:rsidP="00137B04">
      <w:pPr>
        <w:jc w:val="center"/>
        <w:rPr>
          <w:rFonts w:ascii="Arial" w:hAnsi="Arial" w:cs="Arial"/>
          <w:b/>
          <w:lang w:val="es-ES"/>
        </w:rPr>
      </w:pPr>
      <w:r w:rsidRPr="00A35C16">
        <w:rPr>
          <w:rFonts w:ascii="Arial" w:hAnsi="Arial" w:cs="Arial"/>
          <w:b/>
          <w:lang w:val="es-ES"/>
        </w:rPr>
        <w:t>CONSEJO DE EDUCACIÓN DE PUERTO RICO</w:t>
      </w:r>
      <w:r w:rsidR="00951AA4" w:rsidRPr="00A35C16">
        <w:rPr>
          <w:rFonts w:ascii="Arial" w:hAnsi="Arial" w:cs="Arial"/>
          <w:b/>
          <w:lang w:val="es-ES"/>
        </w:rPr>
        <w:t xml:space="preserve"> (CEPR)</w:t>
      </w:r>
    </w:p>
    <w:p w:rsidR="0003323A" w:rsidRPr="00A35C16" w:rsidRDefault="0003323A" w:rsidP="00137B04">
      <w:pPr>
        <w:jc w:val="center"/>
        <w:rPr>
          <w:rFonts w:ascii="Arial" w:hAnsi="Arial" w:cs="Arial"/>
          <w:b/>
          <w:lang w:val="es-ES"/>
        </w:rPr>
      </w:pPr>
    </w:p>
    <w:p w:rsidR="002E6E55" w:rsidRPr="00A35C16" w:rsidRDefault="002E6E55" w:rsidP="00137B04">
      <w:pPr>
        <w:jc w:val="both"/>
        <w:rPr>
          <w:rFonts w:ascii="Arial" w:hAnsi="Arial" w:cs="Arial"/>
          <w:lang w:val="es-ES"/>
        </w:rPr>
      </w:pPr>
    </w:p>
    <w:p w:rsidR="0096258B" w:rsidRDefault="0096258B" w:rsidP="00137B04">
      <w:pPr>
        <w:jc w:val="both"/>
        <w:rPr>
          <w:rFonts w:ascii="Arial" w:hAnsi="Arial" w:cs="Arial"/>
          <w:b/>
          <w:lang w:val="es-ES"/>
        </w:rPr>
      </w:pPr>
      <w:r w:rsidRPr="00A35C16">
        <w:rPr>
          <w:rFonts w:ascii="Arial" w:hAnsi="Arial" w:cs="Arial"/>
          <w:b/>
          <w:lang w:val="es-ES"/>
        </w:rPr>
        <w:t>DESCRIPCIÓN</w:t>
      </w:r>
      <w:r w:rsidR="0003323A" w:rsidRPr="00A35C16">
        <w:rPr>
          <w:rFonts w:ascii="Arial" w:hAnsi="Arial" w:cs="Arial"/>
          <w:b/>
          <w:lang w:val="es-ES"/>
        </w:rPr>
        <w:t xml:space="preserve"> </w:t>
      </w:r>
    </w:p>
    <w:p w:rsidR="0003323A" w:rsidRPr="00A35C16" w:rsidRDefault="0003323A" w:rsidP="00137B04">
      <w:pPr>
        <w:jc w:val="both"/>
        <w:rPr>
          <w:rFonts w:ascii="Arial" w:hAnsi="Arial" w:cs="Arial"/>
          <w:b/>
          <w:lang w:val="es-ES"/>
        </w:rPr>
      </w:pPr>
    </w:p>
    <w:p w:rsidR="008E03F4" w:rsidRPr="00A35C16" w:rsidRDefault="008E03F4" w:rsidP="00137B04">
      <w:pPr>
        <w:jc w:val="both"/>
        <w:rPr>
          <w:rFonts w:ascii="Arial" w:hAnsi="Arial" w:cs="Arial"/>
        </w:rPr>
      </w:pPr>
      <w:r w:rsidRPr="00A35C16">
        <w:rPr>
          <w:rFonts w:ascii="Arial" w:hAnsi="Arial" w:cs="Arial"/>
          <w:lang w:val="es-ES"/>
        </w:rPr>
        <w:t xml:space="preserve">El </w:t>
      </w:r>
      <w:r w:rsidRPr="00A35C16">
        <w:rPr>
          <w:rFonts w:ascii="Arial" w:hAnsi="Arial" w:cs="Arial"/>
        </w:rPr>
        <w:t>Consejo de Educación de Puerto Rico (CEPR) fue creado mediante el Plan de Reorganización Núm. 1 (PR 1) de julio de 2010, según enmendado, y tiene la encomienda de fomentar y promover la diversidad en la educación en Puerto Rico para de esta forma desarrollar un sistema educativo altamente competitivo y orientado a preparar a los estudiantes para afrontar los requerimientos cambiantes del mundo laboral y empresarial</w:t>
      </w:r>
      <w:r w:rsidR="002F42FF" w:rsidRPr="00A35C16">
        <w:rPr>
          <w:rFonts w:ascii="Arial" w:hAnsi="Arial" w:cs="Arial"/>
        </w:rPr>
        <w:t>. Las</w:t>
      </w:r>
      <w:r w:rsidRPr="00A35C16">
        <w:rPr>
          <w:rFonts w:ascii="Arial" w:hAnsi="Arial" w:cs="Arial"/>
        </w:rPr>
        <w:t xml:space="preserve"> funciones programáticas</w:t>
      </w:r>
      <w:r w:rsidR="002F42FF" w:rsidRPr="00A35C16">
        <w:rPr>
          <w:rFonts w:ascii="Arial" w:hAnsi="Arial" w:cs="Arial"/>
        </w:rPr>
        <w:t xml:space="preserve"> del CEPR son</w:t>
      </w:r>
      <w:r w:rsidRPr="00A35C16">
        <w:rPr>
          <w:rFonts w:ascii="Arial" w:hAnsi="Arial" w:cs="Arial"/>
        </w:rPr>
        <w:t>:</w:t>
      </w:r>
    </w:p>
    <w:p w:rsidR="008E03F4" w:rsidRPr="00A35C16" w:rsidRDefault="008E03F4" w:rsidP="00137B04">
      <w:pPr>
        <w:ind w:firstLine="708"/>
        <w:jc w:val="both"/>
        <w:rPr>
          <w:rFonts w:ascii="Arial" w:hAnsi="Arial" w:cs="Arial"/>
        </w:rPr>
      </w:pPr>
    </w:p>
    <w:p w:rsidR="008E03F4" w:rsidRPr="00A35C16" w:rsidRDefault="008E03F4" w:rsidP="00137B04">
      <w:pPr>
        <w:pStyle w:val="ListParagraph"/>
        <w:numPr>
          <w:ilvl w:val="0"/>
          <w:numId w:val="1"/>
        </w:numPr>
        <w:spacing w:after="0" w:line="240" w:lineRule="auto"/>
        <w:contextualSpacing w:val="0"/>
        <w:jc w:val="both"/>
        <w:rPr>
          <w:rFonts w:ascii="Arial" w:hAnsi="Arial" w:cs="Arial"/>
          <w:sz w:val="24"/>
          <w:szCs w:val="24"/>
          <w:lang w:val="es-PR"/>
        </w:rPr>
      </w:pPr>
      <w:r w:rsidRPr="00A35C16">
        <w:rPr>
          <w:rFonts w:ascii="Arial" w:hAnsi="Arial" w:cs="Arial"/>
          <w:sz w:val="24"/>
          <w:szCs w:val="24"/>
          <w:lang w:val="es-ES"/>
        </w:rPr>
        <w:t xml:space="preserve">Licenciar instituciones de educación superior pública y privada. </w:t>
      </w:r>
    </w:p>
    <w:p w:rsidR="008E03F4" w:rsidRPr="00A35C16" w:rsidRDefault="008E03F4" w:rsidP="00137B04">
      <w:pPr>
        <w:pStyle w:val="ListParagraph"/>
        <w:numPr>
          <w:ilvl w:val="0"/>
          <w:numId w:val="1"/>
        </w:numPr>
        <w:spacing w:after="0" w:line="240" w:lineRule="auto"/>
        <w:contextualSpacing w:val="0"/>
        <w:jc w:val="both"/>
        <w:rPr>
          <w:rFonts w:ascii="Arial" w:hAnsi="Arial" w:cs="Arial"/>
          <w:sz w:val="24"/>
          <w:szCs w:val="24"/>
          <w:lang w:val="es-PR"/>
        </w:rPr>
      </w:pPr>
      <w:r w:rsidRPr="00A35C16">
        <w:rPr>
          <w:rFonts w:ascii="Arial" w:hAnsi="Arial" w:cs="Arial"/>
          <w:sz w:val="24"/>
          <w:szCs w:val="24"/>
          <w:lang w:val="es-ES"/>
        </w:rPr>
        <w:t xml:space="preserve">Licenciar y acreditar instituciones de educación básica pública y privada. </w:t>
      </w:r>
    </w:p>
    <w:p w:rsidR="008E03F4" w:rsidRPr="00A35C16" w:rsidRDefault="008E03F4" w:rsidP="00137B04">
      <w:pPr>
        <w:pStyle w:val="ListParagraph"/>
        <w:numPr>
          <w:ilvl w:val="0"/>
          <w:numId w:val="1"/>
        </w:numPr>
        <w:spacing w:after="0" w:line="240" w:lineRule="auto"/>
        <w:contextualSpacing w:val="0"/>
        <w:jc w:val="both"/>
        <w:rPr>
          <w:rFonts w:ascii="Arial" w:hAnsi="Arial" w:cs="Arial"/>
          <w:sz w:val="24"/>
          <w:szCs w:val="24"/>
          <w:lang w:val="es-PR"/>
        </w:rPr>
      </w:pPr>
      <w:r w:rsidRPr="00A35C16">
        <w:rPr>
          <w:rFonts w:ascii="Arial" w:hAnsi="Arial" w:cs="Arial"/>
          <w:sz w:val="24"/>
          <w:szCs w:val="24"/>
          <w:lang w:val="es-PR"/>
        </w:rPr>
        <w:t xml:space="preserve">Mantener registro de instituciones extranjeras que operan a distancia y ofrecen grados en Puerto Rico. </w:t>
      </w:r>
    </w:p>
    <w:p w:rsidR="008E03F4" w:rsidRPr="00A35C16" w:rsidRDefault="008E03F4" w:rsidP="00137B04">
      <w:pPr>
        <w:pStyle w:val="ListParagraph"/>
        <w:numPr>
          <w:ilvl w:val="0"/>
          <w:numId w:val="1"/>
        </w:numPr>
        <w:spacing w:after="0" w:line="240" w:lineRule="auto"/>
        <w:contextualSpacing w:val="0"/>
        <w:jc w:val="both"/>
        <w:rPr>
          <w:rFonts w:ascii="Arial" w:hAnsi="Arial" w:cs="Arial"/>
          <w:sz w:val="24"/>
          <w:szCs w:val="24"/>
          <w:lang w:val="es-PR"/>
        </w:rPr>
      </w:pPr>
      <w:r w:rsidRPr="00A35C16">
        <w:rPr>
          <w:rFonts w:ascii="Arial" w:hAnsi="Arial" w:cs="Arial"/>
          <w:sz w:val="24"/>
          <w:szCs w:val="24"/>
          <w:lang w:val="es-ES"/>
        </w:rPr>
        <w:t xml:space="preserve">Administrar programas de asistencia económica y fondos federales de apoyo a la educación. </w:t>
      </w:r>
    </w:p>
    <w:p w:rsidR="008E03F4" w:rsidRPr="00A35C16" w:rsidRDefault="008E03F4" w:rsidP="00137B04">
      <w:pPr>
        <w:pStyle w:val="ListParagraph"/>
        <w:numPr>
          <w:ilvl w:val="0"/>
          <w:numId w:val="1"/>
        </w:numPr>
        <w:spacing w:after="0" w:line="240" w:lineRule="auto"/>
        <w:contextualSpacing w:val="0"/>
        <w:jc w:val="both"/>
        <w:rPr>
          <w:rFonts w:ascii="Arial" w:hAnsi="Arial" w:cs="Arial"/>
          <w:sz w:val="24"/>
          <w:szCs w:val="24"/>
          <w:lang w:val="es-PR"/>
        </w:rPr>
      </w:pPr>
      <w:r w:rsidRPr="00A35C16">
        <w:rPr>
          <w:rFonts w:ascii="Arial" w:hAnsi="Arial" w:cs="Arial"/>
          <w:sz w:val="24"/>
          <w:szCs w:val="24"/>
          <w:lang w:val="es-ES"/>
        </w:rPr>
        <w:t xml:space="preserve">Recopilar estadísticas y desarrollar investigación sobre la educación en </w:t>
      </w:r>
      <w:r w:rsidR="00EC6962" w:rsidRPr="00A35C16">
        <w:rPr>
          <w:rFonts w:ascii="Arial" w:hAnsi="Arial" w:cs="Arial"/>
          <w:sz w:val="24"/>
          <w:szCs w:val="24"/>
          <w:lang w:val="es-ES"/>
        </w:rPr>
        <w:t>P.R</w:t>
      </w:r>
      <w:r w:rsidRPr="00A35C16">
        <w:rPr>
          <w:rFonts w:ascii="Arial" w:hAnsi="Arial" w:cs="Arial"/>
          <w:sz w:val="24"/>
          <w:szCs w:val="24"/>
          <w:lang w:val="es-ES"/>
        </w:rPr>
        <w:t xml:space="preserve">. </w:t>
      </w:r>
    </w:p>
    <w:p w:rsidR="008E03F4" w:rsidRPr="00A35C16" w:rsidRDefault="008E03F4" w:rsidP="00137B04">
      <w:pPr>
        <w:pStyle w:val="ListParagraph"/>
        <w:numPr>
          <w:ilvl w:val="0"/>
          <w:numId w:val="1"/>
        </w:numPr>
        <w:spacing w:after="0" w:line="240" w:lineRule="auto"/>
        <w:contextualSpacing w:val="0"/>
        <w:jc w:val="both"/>
        <w:rPr>
          <w:rFonts w:ascii="Arial" w:hAnsi="Arial" w:cs="Arial"/>
          <w:sz w:val="24"/>
          <w:szCs w:val="24"/>
          <w:lang w:val="es-PR"/>
        </w:rPr>
      </w:pPr>
      <w:r w:rsidRPr="00A35C16">
        <w:rPr>
          <w:rFonts w:ascii="Arial" w:hAnsi="Arial" w:cs="Arial"/>
          <w:sz w:val="24"/>
          <w:szCs w:val="24"/>
          <w:lang w:val="es-ES"/>
        </w:rPr>
        <w:t xml:space="preserve">Emitir </w:t>
      </w:r>
      <w:r w:rsidRPr="00A35C16">
        <w:rPr>
          <w:rFonts w:ascii="Arial" w:hAnsi="Arial" w:cs="Arial"/>
          <w:sz w:val="24"/>
          <w:szCs w:val="24"/>
          <w:lang w:val="es-PR"/>
        </w:rPr>
        <w:t>certificaciones sobre la validez de programas académicos y grados emitidos.</w:t>
      </w:r>
    </w:p>
    <w:p w:rsidR="008E03F4" w:rsidRPr="00A35C16" w:rsidRDefault="008E03F4" w:rsidP="00137B04">
      <w:pPr>
        <w:widowControl w:val="0"/>
        <w:autoSpaceDE w:val="0"/>
        <w:autoSpaceDN w:val="0"/>
        <w:adjustRightInd w:val="0"/>
        <w:jc w:val="both"/>
        <w:rPr>
          <w:rFonts w:ascii="Arial" w:hAnsi="Arial" w:cs="Arial"/>
          <w:bCs/>
          <w14:shadow w14:blurRad="50800" w14:dist="38100" w14:dir="2700000" w14:sx="100000" w14:sy="100000" w14:kx="0" w14:ky="0" w14:algn="tl">
            <w14:srgbClr w14:val="000000">
              <w14:alpha w14:val="60000"/>
            </w14:srgbClr>
          </w14:shadow>
        </w:rPr>
      </w:pPr>
    </w:p>
    <w:p w:rsidR="008E03F4" w:rsidRPr="00A35C16" w:rsidRDefault="00680826" w:rsidP="00137B04">
      <w:pPr>
        <w:pStyle w:val="BodyText"/>
        <w:spacing w:line="240" w:lineRule="auto"/>
        <w:rPr>
          <w:rFonts w:ascii="Arial" w:hAnsi="Arial" w:cs="Arial"/>
          <w:strike/>
          <w:lang w:val="es-ES"/>
        </w:rPr>
      </w:pPr>
      <w:r w:rsidRPr="00A35C16">
        <w:rPr>
          <w:rFonts w:ascii="Arial" w:hAnsi="Arial" w:cs="Arial"/>
          <w:lang w:val="es-ES"/>
        </w:rPr>
        <w:t>El CEPR</w:t>
      </w:r>
      <w:r w:rsidR="008E03F4" w:rsidRPr="00A35C16">
        <w:rPr>
          <w:rFonts w:ascii="Arial" w:hAnsi="Arial" w:cs="Arial"/>
          <w:lang w:val="es-ES"/>
        </w:rPr>
        <w:t xml:space="preserve"> tiene bajo su responsabilidad el escenario educativo puertorriqueño, desde el preescolar cercano a nuestras residencias, hasta universidades locales y otras tantas cuyas sedes originan en los Estados Unidos de América y más recientemente en España, desde la enseñanza tradicional presencial hasta las modalidades de educación a distancia sincrónica y asincrónica mediante plataformas de </w:t>
      </w:r>
      <w:r w:rsidR="00136CAB" w:rsidRPr="00A35C16">
        <w:rPr>
          <w:rFonts w:ascii="Arial" w:hAnsi="Arial" w:cs="Arial"/>
          <w:lang w:val="es-ES"/>
        </w:rPr>
        <w:t>alta tecnología de comunicación.</w:t>
      </w:r>
      <w:r w:rsidR="008E03F4" w:rsidRPr="00A35C16">
        <w:rPr>
          <w:rFonts w:ascii="Arial" w:hAnsi="Arial" w:cs="Arial"/>
          <w:lang w:val="es-ES"/>
        </w:rPr>
        <w:t xml:space="preserve"> </w:t>
      </w:r>
    </w:p>
    <w:p w:rsidR="008E03F4" w:rsidRPr="00A35C16" w:rsidRDefault="008E03F4" w:rsidP="00137B04">
      <w:pPr>
        <w:pStyle w:val="BodyText"/>
        <w:spacing w:line="240" w:lineRule="auto"/>
        <w:ind w:firstLine="720"/>
        <w:rPr>
          <w:rFonts w:ascii="Arial" w:hAnsi="Arial" w:cs="Arial"/>
          <w:lang w:val="es-ES"/>
        </w:rPr>
      </w:pPr>
    </w:p>
    <w:p w:rsidR="00BC7D57" w:rsidRPr="00A35C16" w:rsidRDefault="0003323A" w:rsidP="00137B04">
      <w:pPr>
        <w:jc w:val="both"/>
        <w:rPr>
          <w:rFonts w:ascii="Arial" w:hAnsi="Arial" w:cs="Arial"/>
          <w:b/>
        </w:rPr>
      </w:pPr>
      <w:r w:rsidRPr="00A35C16">
        <w:rPr>
          <w:rFonts w:ascii="Arial" w:hAnsi="Arial" w:cs="Arial"/>
          <w:b/>
        </w:rPr>
        <w:t>ESTRUCTURA ORGANIZACIONAL</w:t>
      </w:r>
    </w:p>
    <w:p w:rsidR="00BC7D57" w:rsidRPr="00A35C16" w:rsidRDefault="00BC7D57" w:rsidP="00137B04">
      <w:pPr>
        <w:jc w:val="both"/>
        <w:rPr>
          <w:rFonts w:ascii="Arial" w:hAnsi="Arial" w:cs="Arial"/>
        </w:rPr>
      </w:pPr>
    </w:p>
    <w:p w:rsidR="0057041E" w:rsidRPr="00A35C16" w:rsidRDefault="00BC7D57" w:rsidP="00137B04">
      <w:pPr>
        <w:jc w:val="both"/>
        <w:rPr>
          <w:rFonts w:ascii="Arial" w:hAnsi="Arial" w:cs="Arial"/>
        </w:rPr>
      </w:pPr>
      <w:r w:rsidRPr="004E7CB0">
        <w:rPr>
          <w:rFonts w:ascii="Arial" w:hAnsi="Arial" w:cs="Arial"/>
        </w:rPr>
        <w:t>La estructura organizacional del CEPR está compuesta por</w:t>
      </w:r>
      <w:r w:rsidR="004E7CB0">
        <w:rPr>
          <w:rFonts w:ascii="Arial" w:hAnsi="Arial" w:cs="Arial"/>
        </w:rPr>
        <w:t xml:space="preserve"> el</w:t>
      </w:r>
      <w:r w:rsidRPr="00A35C16">
        <w:rPr>
          <w:rFonts w:ascii="Arial" w:hAnsi="Arial" w:cs="Arial"/>
        </w:rPr>
        <w:t xml:space="preserve"> Cuerpo Rector, </w:t>
      </w:r>
      <w:r w:rsidR="004E7CB0">
        <w:rPr>
          <w:rFonts w:ascii="Arial" w:hAnsi="Arial" w:cs="Arial"/>
        </w:rPr>
        <w:t>Dirección Ejecutiva</w:t>
      </w:r>
      <w:r w:rsidRPr="00A35C16">
        <w:rPr>
          <w:rFonts w:ascii="Arial" w:hAnsi="Arial" w:cs="Arial"/>
        </w:rPr>
        <w:t xml:space="preserve">, Área de </w:t>
      </w:r>
      <w:r w:rsidR="0003323A" w:rsidRPr="00A35C16">
        <w:rPr>
          <w:rFonts w:ascii="Arial" w:hAnsi="Arial" w:cs="Arial"/>
        </w:rPr>
        <w:t>Administración</w:t>
      </w:r>
      <w:r w:rsidRPr="00A35C16">
        <w:rPr>
          <w:rFonts w:ascii="Arial" w:hAnsi="Arial" w:cs="Arial"/>
        </w:rPr>
        <w:t xml:space="preserve">, Oficina de Recursos Humanos y </w:t>
      </w:r>
      <w:r w:rsidR="0003323A" w:rsidRPr="00A35C16">
        <w:rPr>
          <w:rFonts w:ascii="Arial" w:hAnsi="Arial" w:cs="Arial"/>
        </w:rPr>
        <w:t xml:space="preserve">Relaciones Laborales, </w:t>
      </w:r>
      <w:r w:rsidR="004E7CB0">
        <w:rPr>
          <w:rFonts w:ascii="Arial" w:hAnsi="Arial" w:cs="Arial"/>
        </w:rPr>
        <w:t>Oficina de Sistemas de Información,</w:t>
      </w:r>
      <w:r w:rsidR="0003323A" w:rsidRPr="00A35C16">
        <w:rPr>
          <w:rFonts w:ascii="Arial" w:hAnsi="Arial" w:cs="Arial"/>
        </w:rPr>
        <w:t xml:space="preserve"> Área de Licenciamiento y Acreditación, Área de Evaluación, Planificación, e Investigación y el Área de Programas de Apoyo a la Educación. </w:t>
      </w:r>
    </w:p>
    <w:p w:rsidR="00F52629" w:rsidRDefault="00F52629" w:rsidP="00137B04">
      <w:pPr>
        <w:jc w:val="both"/>
        <w:rPr>
          <w:rFonts w:ascii="Arial" w:hAnsi="Arial" w:cs="Arial"/>
        </w:rPr>
      </w:pPr>
    </w:p>
    <w:p w:rsidR="0057041E" w:rsidRDefault="00F52629" w:rsidP="00137B04">
      <w:pPr>
        <w:jc w:val="both"/>
        <w:rPr>
          <w:rFonts w:ascii="Arial" w:hAnsi="Arial" w:cs="Arial"/>
        </w:rPr>
      </w:pPr>
      <w:r w:rsidRPr="00A35C16">
        <w:rPr>
          <w:rFonts w:ascii="Arial" w:hAnsi="Arial" w:cs="Arial"/>
        </w:rPr>
        <w:t xml:space="preserve">Los puestos ocupados al 30 de junio de 2016, por categoría de puestos y origen </w:t>
      </w:r>
      <w:r w:rsidR="00EB732C" w:rsidRPr="00A35C16">
        <w:rPr>
          <w:rFonts w:ascii="Arial" w:hAnsi="Arial" w:cs="Arial"/>
        </w:rPr>
        <w:t>de recursos son</w:t>
      </w:r>
      <w:r w:rsidR="008F7C4D" w:rsidRPr="00A35C16">
        <w:rPr>
          <w:rFonts w:ascii="Arial" w:hAnsi="Arial" w:cs="Arial"/>
        </w:rPr>
        <w:t>:</w:t>
      </w:r>
      <w:r w:rsidR="00EB732C" w:rsidRPr="00A35C16">
        <w:rPr>
          <w:rFonts w:ascii="Arial" w:hAnsi="Arial" w:cs="Arial"/>
        </w:rPr>
        <w:t xml:space="preserve"> </w:t>
      </w:r>
    </w:p>
    <w:p w:rsidR="0057041E" w:rsidRPr="00A35C16" w:rsidRDefault="0057041E" w:rsidP="00137B04">
      <w:pPr>
        <w:ind w:left="1080"/>
        <w:jc w:val="both"/>
        <w:rPr>
          <w:rFonts w:ascii="Arial" w:hAnsi="Arial" w:cs="Arial"/>
          <w:spacing w:val="-3"/>
          <w:lang w:val="es-ES"/>
          <w14:shadow w14:blurRad="50800" w14:dist="38100" w14:dir="2700000" w14:sx="100000" w14:sy="100000" w14:kx="0" w14:ky="0" w14:algn="tl">
            <w14:srgbClr w14:val="000000">
              <w14:alpha w14:val="60000"/>
            </w14:srgbClr>
          </w14:shadow>
        </w:rPr>
      </w:pPr>
    </w:p>
    <w:tbl>
      <w:tblPr>
        <w:tblW w:w="8425" w:type="dxa"/>
        <w:jc w:val="center"/>
        <w:tblLook w:val="04A0" w:firstRow="1" w:lastRow="0" w:firstColumn="1" w:lastColumn="0" w:noHBand="0" w:noVBand="1"/>
      </w:tblPr>
      <w:tblGrid>
        <w:gridCol w:w="2274"/>
        <w:gridCol w:w="1247"/>
        <w:gridCol w:w="1813"/>
        <w:gridCol w:w="1260"/>
        <w:gridCol w:w="2020"/>
      </w:tblGrid>
      <w:tr w:rsidR="0057041E" w:rsidRPr="00A35C16" w:rsidTr="00F05C3C">
        <w:trPr>
          <w:trHeight w:val="105"/>
          <w:jc w:val="center"/>
        </w:trPr>
        <w:tc>
          <w:tcPr>
            <w:tcW w:w="842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041E" w:rsidRPr="00A35C16" w:rsidRDefault="0057041E" w:rsidP="00137B04">
            <w:pPr>
              <w:jc w:val="center"/>
              <w:rPr>
                <w:rFonts w:ascii="Arial" w:hAnsi="Arial" w:cs="Arial"/>
                <w:b/>
                <w:color w:val="000000"/>
              </w:rPr>
            </w:pPr>
            <w:r w:rsidRPr="00A35C16">
              <w:rPr>
                <w:rFonts w:ascii="Arial" w:hAnsi="Arial" w:cs="Arial"/>
                <w:b/>
                <w:color w:val="000000"/>
              </w:rPr>
              <w:t>Puestos ocupados al 30 de junio de 2016</w:t>
            </w:r>
          </w:p>
        </w:tc>
      </w:tr>
      <w:tr w:rsidR="0057041E" w:rsidRPr="00A35C16" w:rsidTr="0057041E">
        <w:trPr>
          <w:trHeight w:val="435"/>
          <w:jc w:val="center"/>
        </w:trPr>
        <w:tc>
          <w:tcPr>
            <w:tcW w:w="2085" w:type="dxa"/>
            <w:tcBorders>
              <w:top w:val="single" w:sz="8" w:space="0" w:color="auto"/>
              <w:left w:val="single" w:sz="8" w:space="0" w:color="auto"/>
              <w:bottom w:val="single" w:sz="4" w:space="0" w:color="auto"/>
              <w:right w:val="single" w:sz="4" w:space="0" w:color="auto"/>
            </w:tcBorders>
            <w:shd w:val="clear" w:color="auto" w:fill="A8D08D" w:themeFill="accent6" w:themeFillTint="99"/>
            <w:noWrap/>
            <w:vAlign w:val="center"/>
            <w:hideMark/>
          </w:tcPr>
          <w:p w:rsidR="0057041E" w:rsidRPr="00A35C16" w:rsidRDefault="0057041E" w:rsidP="00137B04">
            <w:pPr>
              <w:jc w:val="center"/>
              <w:rPr>
                <w:rFonts w:ascii="Arial" w:hAnsi="Arial" w:cs="Arial"/>
                <w:b/>
                <w:bCs/>
                <w:color w:val="000000"/>
              </w:rPr>
            </w:pPr>
            <w:r w:rsidRPr="00A35C16">
              <w:rPr>
                <w:rFonts w:ascii="Arial" w:hAnsi="Arial" w:cs="Arial"/>
                <w:b/>
                <w:bCs/>
                <w:color w:val="000000"/>
              </w:rPr>
              <w:t xml:space="preserve">Puestos  </w:t>
            </w:r>
          </w:p>
        </w:tc>
        <w:tc>
          <w:tcPr>
            <w:tcW w:w="1247" w:type="dxa"/>
            <w:tcBorders>
              <w:top w:val="single" w:sz="8"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57041E" w:rsidRPr="00A35C16" w:rsidRDefault="0057041E" w:rsidP="00137B04">
            <w:pPr>
              <w:jc w:val="center"/>
              <w:rPr>
                <w:rFonts w:ascii="Arial" w:hAnsi="Arial" w:cs="Arial"/>
                <w:b/>
                <w:bCs/>
                <w:color w:val="000000"/>
              </w:rPr>
            </w:pPr>
            <w:r w:rsidRPr="00A35C16">
              <w:rPr>
                <w:rFonts w:ascii="Arial" w:hAnsi="Arial" w:cs="Arial"/>
                <w:b/>
                <w:bCs/>
                <w:color w:val="000000"/>
              </w:rPr>
              <w:t>Fondo General</w:t>
            </w:r>
          </w:p>
        </w:tc>
        <w:tc>
          <w:tcPr>
            <w:tcW w:w="1813" w:type="dxa"/>
            <w:tcBorders>
              <w:top w:val="single" w:sz="8"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57041E" w:rsidRPr="00A35C16" w:rsidRDefault="0057041E" w:rsidP="00137B04">
            <w:pPr>
              <w:jc w:val="center"/>
              <w:rPr>
                <w:rFonts w:ascii="Arial" w:hAnsi="Arial" w:cs="Arial"/>
                <w:b/>
                <w:bCs/>
                <w:color w:val="000000"/>
              </w:rPr>
            </w:pPr>
            <w:r w:rsidRPr="00A35C16">
              <w:rPr>
                <w:rFonts w:ascii="Arial" w:hAnsi="Arial" w:cs="Arial"/>
                <w:b/>
                <w:bCs/>
                <w:color w:val="000000"/>
              </w:rPr>
              <w:t>Fondos Federales</w:t>
            </w:r>
          </w:p>
        </w:tc>
        <w:tc>
          <w:tcPr>
            <w:tcW w:w="1260" w:type="dxa"/>
            <w:tcBorders>
              <w:top w:val="single" w:sz="8"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57041E" w:rsidRPr="00A35C16" w:rsidRDefault="0057041E" w:rsidP="00137B04">
            <w:pPr>
              <w:jc w:val="center"/>
              <w:rPr>
                <w:rFonts w:ascii="Arial" w:hAnsi="Arial" w:cs="Arial"/>
                <w:b/>
                <w:bCs/>
                <w:color w:val="000000"/>
              </w:rPr>
            </w:pPr>
            <w:r w:rsidRPr="00A35C16">
              <w:rPr>
                <w:rFonts w:ascii="Arial" w:hAnsi="Arial" w:cs="Arial"/>
                <w:b/>
                <w:bCs/>
                <w:color w:val="000000"/>
              </w:rPr>
              <w:t>Otros Fondos</w:t>
            </w:r>
          </w:p>
        </w:tc>
        <w:tc>
          <w:tcPr>
            <w:tcW w:w="2020" w:type="dxa"/>
            <w:tcBorders>
              <w:top w:val="single" w:sz="8" w:space="0" w:color="auto"/>
              <w:left w:val="single" w:sz="4" w:space="0" w:color="auto"/>
              <w:bottom w:val="single" w:sz="4" w:space="0" w:color="auto"/>
              <w:right w:val="single" w:sz="8" w:space="0" w:color="auto"/>
            </w:tcBorders>
            <w:shd w:val="clear" w:color="auto" w:fill="A8D08D" w:themeFill="accent6" w:themeFillTint="99"/>
            <w:noWrap/>
            <w:vAlign w:val="center"/>
            <w:hideMark/>
          </w:tcPr>
          <w:p w:rsidR="0057041E" w:rsidRPr="00A35C16" w:rsidRDefault="0057041E" w:rsidP="00137B04">
            <w:pPr>
              <w:jc w:val="center"/>
              <w:rPr>
                <w:rFonts w:ascii="Arial" w:hAnsi="Arial" w:cs="Arial"/>
                <w:b/>
                <w:bCs/>
                <w:color w:val="000000"/>
              </w:rPr>
            </w:pPr>
            <w:r w:rsidRPr="00A35C16">
              <w:rPr>
                <w:rFonts w:ascii="Arial" w:hAnsi="Arial" w:cs="Arial"/>
                <w:b/>
                <w:bCs/>
                <w:color w:val="000000"/>
              </w:rPr>
              <w:t>Total</w:t>
            </w:r>
          </w:p>
        </w:tc>
      </w:tr>
      <w:tr w:rsidR="0057041E" w:rsidRPr="00A35C16" w:rsidTr="00F05C3C">
        <w:trPr>
          <w:trHeight w:val="312"/>
          <w:jc w:val="center"/>
        </w:trPr>
        <w:tc>
          <w:tcPr>
            <w:tcW w:w="2085" w:type="dxa"/>
            <w:tcBorders>
              <w:top w:val="nil"/>
              <w:left w:val="single" w:sz="8" w:space="0" w:color="auto"/>
              <w:bottom w:val="single" w:sz="4" w:space="0" w:color="auto"/>
              <w:right w:val="single" w:sz="4" w:space="0" w:color="auto"/>
            </w:tcBorders>
            <w:shd w:val="clear" w:color="auto" w:fill="auto"/>
            <w:noWrap/>
            <w:vAlign w:val="bottom"/>
            <w:hideMark/>
          </w:tcPr>
          <w:p w:rsidR="0057041E" w:rsidRPr="00A35C16" w:rsidRDefault="0057041E" w:rsidP="00137B04">
            <w:pPr>
              <w:rPr>
                <w:rFonts w:ascii="Arial" w:hAnsi="Arial" w:cs="Arial"/>
                <w:bCs/>
                <w:smallCaps/>
                <w:lang w:val="es-ES"/>
              </w:rPr>
            </w:pPr>
            <w:r w:rsidRPr="00A35C16">
              <w:rPr>
                <w:rFonts w:ascii="Arial" w:hAnsi="Arial" w:cs="Arial"/>
                <w:bCs/>
                <w:smallCaps/>
                <w:lang w:val="es-ES"/>
              </w:rPr>
              <w:t>Confianza</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r w:rsidRPr="00A35C16">
              <w:rPr>
                <w:rFonts w:ascii="Arial" w:hAnsi="Arial" w:cs="Arial"/>
                <w:bCs/>
                <w:smallCaps/>
                <w:lang w:val="es-ES"/>
              </w:rPr>
              <w:t>7</w:t>
            </w:r>
          </w:p>
        </w:tc>
        <w:tc>
          <w:tcPr>
            <w:tcW w:w="1813"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p>
        </w:tc>
        <w:tc>
          <w:tcPr>
            <w:tcW w:w="2020" w:type="dxa"/>
            <w:tcBorders>
              <w:top w:val="nil"/>
              <w:left w:val="single" w:sz="4" w:space="0" w:color="auto"/>
              <w:bottom w:val="single" w:sz="4" w:space="0" w:color="auto"/>
              <w:right w:val="single" w:sz="8"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r w:rsidRPr="00A35C16">
              <w:rPr>
                <w:rFonts w:ascii="Arial" w:hAnsi="Arial" w:cs="Arial"/>
                <w:bCs/>
                <w:smallCaps/>
                <w:lang w:val="es-ES"/>
              </w:rPr>
              <w:t>7</w:t>
            </w:r>
          </w:p>
        </w:tc>
      </w:tr>
      <w:tr w:rsidR="0057041E" w:rsidRPr="00A35C16" w:rsidTr="00F05C3C">
        <w:trPr>
          <w:trHeight w:val="312"/>
          <w:jc w:val="center"/>
        </w:trPr>
        <w:tc>
          <w:tcPr>
            <w:tcW w:w="2085" w:type="dxa"/>
            <w:tcBorders>
              <w:top w:val="nil"/>
              <w:left w:val="single" w:sz="8" w:space="0" w:color="auto"/>
              <w:bottom w:val="single" w:sz="4" w:space="0" w:color="auto"/>
              <w:right w:val="single" w:sz="4" w:space="0" w:color="auto"/>
            </w:tcBorders>
            <w:shd w:val="clear" w:color="auto" w:fill="auto"/>
            <w:noWrap/>
            <w:vAlign w:val="bottom"/>
            <w:hideMark/>
          </w:tcPr>
          <w:p w:rsidR="0057041E" w:rsidRPr="00A35C16" w:rsidRDefault="0057041E" w:rsidP="00137B04">
            <w:pPr>
              <w:rPr>
                <w:rFonts w:ascii="Arial" w:hAnsi="Arial" w:cs="Arial"/>
                <w:bCs/>
                <w:smallCaps/>
                <w:lang w:val="es-ES"/>
              </w:rPr>
            </w:pPr>
            <w:r w:rsidRPr="00A35C16">
              <w:rPr>
                <w:rFonts w:ascii="Arial" w:hAnsi="Arial" w:cs="Arial"/>
                <w:bCs/>
                <w:smallCaps/>
                <w:lang w:val="es-ES"/>
              </w:rPr>
              <w:t>Regulares</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p>
        </w:tc>
        <w:tc>
          <w:tcPr>
            <w:tcW w:w="1813"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p>
        </w:tc>
        <w:tc>
          <w:tcPr>
            <w:tcW w:w="2020" w:type="dxa"/>
            <w:tcBorders>
              <w:top w:val="nil"/>
              <w:left w:val="single" w:sz="4" w:space="0" w:color="auto"/>
              <w:bottom w:val="single" w:sz="4" w:space="0" w:color="auto"/>
              <w:right w:val="single" w:sz="8"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p>
        </w:tc>
      </w:tr>
      <w:tr w:rsidR="0057041E" w:rsidRPr="00A35C16" w:rsidTr="00F05C3C">
        <w:trPr>
          <w:trHeight w:val="312"/>
          <w:jc w:val="center"/>
        </w:trPr>
        <w:tc>
          <w:tcPr>
            <w:tcW w:w="2085" w:type="dxa"/>
            <w:tcBorders>
              <w:top w:val="nil"/>
              <w:left w:val="single" w:sz="8" w:space="0" w:color="auto"/>
              <w:bottom w:val="single" w:sz="4" w:space="0" w:color="auto"/>
              <w:right w:val="single" w:sz="4" w:space="0" w:color="auto"/>
            </w:tcBorders>
            <w:shd w:val="clear" w:color="auto" w:fill="auto"/>
            <w:noWrap/>
            <w:vAlign w:val="bottom"/>
            <w:hideMark/>
          </w:tcPr>
          <w:p w:rsidR="0057041E" w:rsidRPr="00A35C16" w:rsidRDefault="0057041E" w:rsidP="00137B04">
            <w:pPr>
              <w:pStyle w:val="BodyTextIndent"/>
              <w:numPr>
                <w:ilvl w:val="0"/>
                <w:numId w:val="8"/>
              </w:numPr>
              <w:spacing w:after="0"/>
              <w:ind w:left="602" w:hanging="242"/>
              <w:rPr>
                <w:rFonts w:ascii="Arial" w:hAnsi="Arial" w:cs="Arial"/>
                <w:bCs/>
                <w:smallCaps/>
                <w:lang w:val="es-ES"/>
              </w:rPr>
            </w:pPr>
            <w:r w:rsidRPr="00A35C16">
              <w:rPr>
                <w:rFonts w:ascii="Arial" w:hAnsi="Arial" w:cs="Arial"/>
                <w:bCs/>
                <w:smallCaps/>
                <w:lang w:val="es-ES"/>
              </w:rPr>
              <w:t>Ley 45</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2E6E55" w:rsidP="00137B04">
            <w:pPr>
              <w:pStyle w:val="BodyTextIndent"/>
              <w:spacing w:after="0"/>
              <w:ind w:left="22"/>
              <w:jc w:val="center"/>
              <w:rPr>
                <w:rFonts w:ascii="Arial" w:hAnsi="Arial" w:cs="Arial"/>
                <w:bCs/>
                <w:smallCaps/>
                <w:lang w:val="es-ES"/>
              </w:rPr>
            </w:pPr>
            <w:r>
              <w:rPr>
                <w:rFonts w:ascii="Arial" w:hAnsi="Arial" w:cs="Arial"/>
                <w:bCs/>
                <w:smallCaps/>
                <w:lang w:val="es-ES"/>
              </w:rPr>
              <w:t>15</w:t>
            </w:r>
          </w:p>
        </w:tc>
        <w:tc>
          <w:tcPr>
            <w:tcW w:w="1813"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p>
        </w:tc>
        <w:tc>
          <w:tcPr>
            <w:tcW w:w="2020" w:type="dxa"/>
            <w:tcBorders>
              <w:top w:val="nil"/>
              <w:left w:val="single" w:sz="4" w:space="0" w:color="auto"/>
              <w:bottom w:val="single" w:sz="4" w:space="0" w:color="auto"/>
              <w:right w:val="single" w:sz="8"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r w:rsidRPr="00A35C16">
              <w:rPr>
                <w:rFonts w:ascii="Arial" w:hAnsi="Arial" w:cs="Arial"/>
                <w:bCs/>
                <w:smallCaps/>
                <w:lang w:val="es-ES"/>
              </w:rPr>
              <w:t>15</w:t>
            </w:r>
          </w:p>
        </w:tc>
      </w:tr>
      <w:tr w:rsidR="0057041E" w:rsidRPr="00A35C16" w:rsidTr="00F05C3C">
        <w:trPr>
          <w:trHeight w:val="312"/>
          <w:jc w:val="center"/>
        </w:trPr>
        <w:tc>
          <w:tcPr>
            <w:tcW w:w="2085" w:type="dxa"/>
            <w:tcBorders>
              <w:top w:val="nil"/>
              <w:left w:val="single" w:sz="8" w:space="0" w:color="auto"/>
              <w:bottom w:val="single" w:sz="4" w:space="0" w:color="auto"/>
              <w:right w:val="single" w:sz="4" w:space="0" w:color="auto"/>
            </w:tcBorders>
            <w:shd w:val="clear" w:color="auto" w:fill="auto"/>
            <w:noWrap/>
            <w:vAlign w:val="bottom"/>
            <w:hideMark/>
          </w:tcPr>
          <w:p w:rsidR="0057041E" w:rsidRPr="00A35C16" w:rsidRDefault="0057041E" w:rsidP="00137B04">
            <w:pPr>
              <w:pStyle w:val="BodyTextIndent"/>
              <w:numPr>
                <w:ilvl w:val="0"/>
                <w:numId w:val="8"/>
              </w:numPr>
              <w:spacing w:after="0"/>
              <w:ind w:left="602" w:hanging="242"/>
              <w:rPr>
                <w:rFonts w:ascii="Arial" w:hAnsi="Arial" w:cs="Arial"/>
                <w:bCs/>
                <w:smallCaps/>
                <w:lang w:val="es-ES"/>
              </w:rPr>
            </w:pPr>
            <w:r w:rsidRPr="00A35C16">
              <w:rPr>
                <w:rFonts w:ascii="Arial" w:hAnsi="Arial" w:cs="Arial"/>
                <w:bCs/>
                <w:smallCaps/>
                <w:lang w:val="es-ES"/>
              </w:rPr>
              <w:t>Excluidos</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2E6E55" w:rsidP="00137B04">
            <w:pPr>
              <w:pStyle w:val="BodyTextIndent"/>
              <w:spacing w:after="0"/>
              <w:ind w:left="22"/>
              <w:jc w:val="center"/>
              <w:rPr>
                <w:rFonts w:ascii="Arial" w:hAnsi="Arial" w:cs="Arial"/>
                <w:bCs/>
                <w:smallCaps/>
                <w:lang w:val="es-ES"/>
              </w:rPr>
            </w:pPr>
            <w:r>
              <w:rPr>
                <w:rFonts w:ascii="Arial" w:hAnsi="Arial" w:cs="Arial"/>
                <w:bCs/>
                <w:smallCaps/>
                <w:lang w:val="es-ES"/>
              </w:rPr>
              <w:t>13</w:t>
            </w:r>
          </w:p>
        </w:tc>
        <w:tc>
          <w:tcPr>
            <w:tcW w:w="1813"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r w:rsidRPr="00A35C16">
              <w:rPr>
                <w:rFonts w:ascii="Arial" w:hAnsi="Arial" w:cs="Arial"/>
                <w:bCs/>
                <w:smallCaps/>
                <w:lang w:val="es-ES"/>
              </w:rPr>
              <w:t>1</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p>
        </w:tc>
        <w:tc>
          <w:tcPr>
            <w:tcW w:w="2020" w:type="dxa"/>
            <w:tcBorders>
              <w:top w:val="nil"/>
              <w:left w:val="single" w:sz="4" w:space="0" w:color="auto"/>
              <w:bottom w:val="single" w:sz="4" w:space="0" w:color="auto"/>
              <w:right w:val="single" w:sz="8" w:space="0" w:color="auto"/>
            </w:tcBorders>
            <w:shd w:val="clear" w:color="auto" w:fill="auto"/>
            <w:noWrap/>
            <w:vAlign w:val="bottom"/>
          </w:tcPr>
          <w:p w:rsidR="0057041E" w:rsidRPr="00A35C16" w:rsidRDefault="002E6E55" w:rsidP="00137B04">
            <w:pPr>
              <w:pStyle w:val="BodyTextIndent"/>
              <w:spacing w:after="0"/>
              <w:ind w:left="22"/>
              <w:jc w:val="center"/>
              <w:rPr>
                <w:rFonts w:ascii="Arial" w:hAnsi="Arial" w:cs="Arial"/>
                <w:bCs/>
                <w:smallCaps/>
                <w:lang w:val="es-ES"/>
              </w:rPr>
            </w:pPr>
            <w:r>
              <w:rPr>
                <w:rFonts w:ascii="Arial" w:hAnsi="Arial" w:cs="Arial"/>
                <w:bCs/>
                <w:smallCaps/>
                <w:lang w:val="es-ES"/>
              </w:rPr>
              <w:t>14</w:t>
            </w:r>
          </w:p>
        </w:tc>
      </w:tr>
      <w:tr w:rsidR="0057041E" w:rsidRPr="00A35C16" w:rsidTr="00F05C3C">
        <w:trPr>
          <w:trHeight w:val="312"/>
          <w:jc w:val="center"/>
        </w:trPr>
        <w:tc>
          <w:tcPr>
            <w:tcW w:w="2085" w:type="dxa"/>
            <w:tcBorders>
              <w:top w:val="nil"/>
              <w:left w:val="single" w:sz="8" w:space="0" w:color="auto"/>
              <w:bottom w:val="single" w:sz="4" w:space="0" w:color="auto"/>
              <w:right w:val="single" w:sz="4" w:space="0" w:color="auto"/>
            </w:tcBorders>
            <w:shd w:val="clear" w:color="auto" w:fill="auto"/>
            <w:noWrap/>
            <w:vAlign w:val="bottom"/>
            <w:hideMark/>
          </w:tcPr>
          <w:p w:rsidR="0057041E" w:rsidRPr="00A35C16" w:rsidRDefault="0057041E" w:rsidP="00137B04">
            <w:pPr>
              <w:pStyle w:val="BodyTextIndent"/>
              <w:numPr>
                <w:ilvl w:val="0"/>
                <w:numId w:val="8"/>
              </w:numPr>
              <w:spacing w:after="0"/>
              <w:ind w:left="602" w:hanging="242"/>
              <w:rPr>
                <w:rFonts w:ascii="Arial" w:hAnsi="Arial" w:cs="Arial"/>
                <w:bCs/>
                <w:smallCaps/>
                <w:lang w:val="es-ES"/>
              </w:rPr>
            </w:pPr>
            <w:r w:rsidRPr="00A35C16">
              <w:rPr>
                <w:rFonts w:ascii="Arial" w:hAnsi="Arial" w:cs="Arial"/>
                <w:bCs/>
                <w:smallCaps/>
                <w:lang w:val="es-ES"/>
              </w:rPr>
              <w:t>Transitorios</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2E6E55" w:rsidP="00137B04">
            <w:pPr>
              <w:pStyle w:val="BodyTextIndent"/>
              <w:spacing w:after="0"/>
              <w:ind w:left="22"/>
              <w:jc w:val="center"/>
              <w:rPr>
                <w:rFonts w:ascii="Arial" w:hAnsi="Arial" w:cs="Arial"/>
                <w:bCs/>
                <w:smallCaps/>
                <w:lang w:val="es-ES"/>
              </w:rPr>
            </w:pPr>
            <w:r>
              <w:rPr>
                <w:rFonts w:ascii="Arial" w:hAnsi="Arial" w:cs="Arial"/>
                <w:bCs/>
                <w:smallCaps/>
                <w:lang w:val="es-ES"/>
              </w:rPr>
              <w:t>2</w:t>
            </w:r>
          </w:p>
        </w:tc>
        <w:tc>
          <w:tcPr>
            <w:tcW w:w="1813"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7041E" w:rsidRPr="00A35C16" w:rsidRDefault="0057041E" w:rsidP="00137B04">
            <w:pPr>
              <w:pStyle w:val="BodyTextIndent"/>
              <w:spacing w:after="0"/>
              <w:ind w:left="22"/>
              <w:jc w:val="center"/>
              <w:rPr>
                <w:rFonts w:ascii="Arial" w:hAnsi="Arial" w:cs="Arial"/>
                <w:bCs/>
                <w:smallCaps/>
                <w:lang w:val="es-ES"/>
              </w:rPr>
            </w:pPr>
          </w:p>
        </w:tc>
        <w:tc>
          <w:tcPr>
            <w:tcW w:w="2020" w:type="dxa"/>
            <w:tcBorders>
              <w:top w:val="nil"/>
              <w:left w:val="single" w:sz="4" w:space="0" w:color="auto"/>
              <w:bottom w:val="single" w:sz="4" w:space="0" w:color="auto"/>
              <w:right w:val="single" w:sz="8" w:space="0" w:color="auto"/>
            </w:tcBorders>
            <w:shd w:val="clear" w:color="auto" w:fill="auto"/>
            <w:noWrap/>
            <w:vAlign w:val="bottom"/>
          </w:tcPr>
          <w:p w:rsidR="0057041E" w:rsidRPr="00A35C16" w:rsidRDefault="002E6E55" w:rsidP="00137B04">
            <w:pPr>
              <w:pStyle w:val="BodyTextIndent"/>
              <w:spacing w:after="0"/>
              <w:ind w:left="22"/>
              <w:jc w:val="center"/>
              <w:rPr>
                <w:rFonts w:ascii="Arial" w:hAnsi="Arial" w:cs="Arial"/>
                <w:bCs/>
                <w:smallCaps/>
                <w:lang w:val="es-ES"/>
              </w:rPr>
            </w:pPr>
            <w:r>
              <w:rPr>
                <w:rFonts w:ascii="Arial" w:hAnsi="Arial" w:cs="Arial"/>
                <w:bCs/>
                <w:smallCaps/>
                <w:lang w:val="es-ES"/>
              </w:rPr>
              <w:t>2</w:t>
            </w:r>
          </w:p>
        </w:tc>
      </w:tr>
      <w:tr w:rsidR="0057041E" w:rsidRPr="00A35C16" w:rsidTr="00F05C3C">
        <w:trPr>
          <w:trHeight w:val="42"/>
          <w:jc w:val="center"/>
        </w:trPr>
        <w:tc>
          <w:tcPr>
            <w:tcW w:w="208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7041E" w:rsidRPr="00A35C16" w:rsidRDefault="0057041E" w:rsidP="00137B04">
            <w:pPr>
              <w:jc w:val="center"/>
              <w:rPr>
                <w:rFonts w:ascii="Arial" w:hAnsi="Arial" w:cs="Arial"/>
                <w:b/>
                <w:bCs/>
                <w:smallCaps/>
                <w:lang w:val="es-ES"/>
              </w:rPr>
            </w:pPr>
            <w:r w:rsidRPr="00A35C16">
              <w:rPr>
                <w:rFonts w:ascii="Arial" w:hAnsi="Arial" w:cs="Arial"/>
                <w:b/>
                <w:bCs/>
                <w:smallCaps/>
                <w:lang w:val="es-ES"/>
              </w:rPr>
              <w:t>Totales</w:t>
            </w:r>
          </w:p>
        </w:tc>
        <w:tc>
          <w:tcPr>
            <w:tcW w:w="1247" w:type="dxa"/>
            <w:tcBorders>
              <w:top w:val="single" w:sz="4" w:space="0" w:color="auto"/>
              <w:left w:val="single" w:sz="4" w:space="0" w:color="auto"/>
              <w:bottom w:val="single" w:sz="8" w:space="0" w:color="auto"/>
              <w:right w:val="single" w:sz="4" w:space="0" w:color="auto"/>
            </w:tcBorders>
            <w:shd w:val="clear" w:color="auto" w:fill="auto"/>
            <w:noWrap/>
            <w:vAlign w:val="bottom"/>
          </w:tcPr>
          <w:p w:rsidR="0057041E" w:rsidRPr="00A35C16" w:rsidRDefault="0057041E" w:rsidP="00137B04">
            <w:pPr>
              <w:jc w:val="center"/>
              <w:rPr>
                <w:rFonts w:ascii="Arial" w:hAnsi="Arial" w:cs="Arial"/>
                <w:b/>
                <w:bCs/>
                <w:color w:val="000000"/>
              </w:rPr>
            </w:pPr>
            <w:r w:rsidRPr="00A35C16">
              <w:rPr>
                <w:rFonts w:ascii="Arial" w:hAnsi="Arial" w:cs="Arial"/>
                <w:b/>
                <w:bCs/>
                <w:color w:val="000000"/>
              </w:rPr>
              <w:t>37</w:t>
            </w:r>
          </w:p>
        </w:tc>
        <w:tc>
          <w:tcPr>
            <w:tcW w:w="1813" w:type="dxa"/>
            <w:tcBorders>
              <w:top w:val="single" w:sz="4" w:space="0" w:color="auto"/>
              <w:left w:val="single" w:sz="4" w:space="0" w:color="auto"/>
              <w:bottom w:val="single" w:sz="8" w:space="0" w:color="auto"/>
              <w:right w:val="single" w:sz="4" w:space="0" w:color="auto"/>
            </w:tcBorders>
            <w:shd w:val="clear" w:color="auto" w:fill="auto"/>
            <w:noWrap/>
            <w:vAlign w:val="bottom"/>
          </w:tcPr>
          <w:p w:rsidR="0057041E" w:rsidRPr="00A35C16" w:rsidRDefault="0057041E" w:rsidP="00137B04">
            <w:pPr>
              <w:jc w:val="center"/>
              <w:rPr>
                <w:rFonts w:ascii="Arial" w:hAnsi="Arial" w:cs="Arial"/>
                <w:b/>
                <w:bCs/>
                <w:color w:val="000000"/>
              </w:rPr>
            </w:pPr>
            <w:r w:rsidRPr="00A35C16">
              <w:rPr>
                <w:rFonts w:ascii="Arial" w:hAnsi="Arial" w:cs="Arial"/>
                <w:b/>
                <w:bCs/>
                <w:color w:val="000000"/>
              </w:rPr>
              <w:t>1</w:t>
            </w:r>
          </w:p>
        </w:tc>
        <w:tc>
          <w:tcPr>
            <w:tcW w:w="1260" w:type="dxa"/>
            <w:tcBorders>
              <w:top w:val="single" w:sz="4" w:space="0" w:color="auto"/>
              <w:left w:val="nil"/>
              <w:bottom w:val="single" w:sz="8" w:space="0" w:color="auto"/>
              <w:right w:val="single" w:sz="4" w:space="0" w:color="auto"/>
            </w:tcBorders>
            <w:shd w:val="clear" w:color="auto" w:fill="auto"/>
            <w:noWrap/>
            <w:vAlign w:val="bottom"/>
          </w:tcPr>
          <w:p w:rsidR="0057041E" w:rsidRPr="00A35C16" w:rsidRDefault="0057041E" w:rsidP="00137B04">
            <w:pPr>
              <w:jc w:val="center"/>
              <w:rPr>
                <w:rFonts w:ascii="Arial" w:hAnsi="Arial" w:cs="Arial"/>
                <w:b/>
                <w:bCs/>
                <w:color w:val="000000"/>
              </w:rPr>
            </w:pPr>
          </w:p>
        </w:tc>
        <w:tc>
          <w:tcPr>
            <w:tcW w:w="2020" w:type="dxa"/>
            <w:tcBorders>
              <w:top w:val="single" w:sz="4" w:space="0" w:color="auto"/>
              <w:left w:val="single" w:sz="4" w:space="0" w:color="auto"/>
              <w:bottom w:val="single" w:sz="8" w:space="0" w:color="auto"/>
              <w:right w:val="single" w:sz="8" w:space="0" w:color="auto"/>
            </w:tcBorders>
            <w:shd w:val="clear" w:color="auto" w:fill="auto"/>
            <w:noWrap/>
            <w:vAlign w:val="bottom"/>
          </w:tcPr>
          <w:p w:rsidR="0057041E" w:rsidRPr="00A35C16" w:rsidRDefault="0057041E" w:rsidP="00137B04">
            <w:pPr>
              <w:jc w:val="center"/>
              <w:rPr>
                <w:rFonts w:ascii="Arial" w:hAnsi="Arial" w:cs="Arial"/>
                <w:b/>
                <w:bCs/>
                <w:color w:val="000000"/>
              </w:rPr>
            </w:pPr>
            <w:r w:rsidRPr="00A35C16">
              <w:rPr>
                <w:rFonts w:ascii="Arial" w:hAnsi="Arial" w:cs="Arial"/>
                <w:b/>
                <w:bCs/>
                <w:color w:val="000000"/>
              </w:rPr>
              <w:t>38</w:t>
            </w:r>
          </w:p>
        </w:tc>
      </w:tr>
    </w:tbl>
    <w:p w:rsidR="003E5F9B" w:rsidRPr="00A35C16" w:rsidRDefault="00BC7D57" w:rsidP="00137B04">
      <w:pPr>
        <w:jc w:val="both"/>
        <w:rPr>
          <w:rFonts w:ascii="Arial" w:hAnsi="Arial" w:cs="Arial"/>
        </w:rPr>
      </w:pPr>
      <w:r w:rsidRPr="00A35C16">
        <w:rPr>
          <w:rFonts w:ascii="Arial" w:hAnsi="Arial" w:cs="Arial"/>
          <w:bCs/>
          <w14:shadow w14:blurRad="50800" w14:dist="38100" w14:dir="2700000" w14:sx="100000" w14:sy="100000" w14:kx="0" w14:ky="0" w14:algn="tl">
            <w14:srgbClr w14:val="000000">
              <w14:alpha w14:val="60000"/>
            </w14:srgbClr>
          </w14:shadow>
        </w:rPr>
        <w:t xml:space="preserve">                               </w:t>
      </w:r>
      <w:r w:rsidR="001A213A" w:rsidRPr="00A35C16">
        <w:rPr>
          <w:rFonts w:ascii="Arial" w:hAnsi="Arial" w:cs="Arial"/>
          <w:bCs/>
          <w14:shadow w14:blurRad="50800" w14:dist="38100" w14:dir="2700000" w14:sx="100000" w14:sy="100000" w14:kx="0" w14:ky="0" w14:algn="tl">
            <w14:srgbClr w14:val="000000">
              <w14:alpha w14:val="60000"/>
            </w14:srgbClr>
          </w14:shadow>
        </w:rPr>
        <w:t xml:space="preserve"> </w:t>
      </w:r>
    </w:p>
    <w:p w:rsidR="00137B04" w:rsidRDefault="00137B04" w:rsidP="00137B04">
      <w:pPr>
        <w:widowControl w:val="0"/>
        <w:autoSpaceDE w:val="0"/>
        <w:autoSpaceDN w:val="0"/>
        <w:adjustRightInd w:val="0"/>
        <w:jc w:val="both"/>
        <w:rPr>
          <w:rFonts w:ascii="Arial" w:eastAsiaTheme="minorHAnsi" w:hAnsi="Arial" w:cs="Arial"/>
          <w:b/>
          <w:lang w:val="es-ES"/>
        </w:rPr>
      </w:pPr>
    </w:p>
    <w:p w:rsidR="00137B04" w:rsidRDefault="00137B04" w:rsidP="00137B04">
      <w:pPr>
        <w:widowControl w:val="0"/>
        <w:autoSpaceDE w:val="0"/>
        <w:autoSpaceDN w:val="0"/>
        <w:adjustRightInd w:val="0"/>
        <w:jc w:val="both"/>
        <w:rPr>
          <w:rFonts w:ascii="Arial" w:eastAsiaTheme="minorHAnsi" w:hAnsi="Arial" w:cs="Arial"/>
          <w:b/>
          <w:lang w:val="es-ES"/>
        </w:rPr>
      </w:pPr>
    </w:p>
    <w:p w:rsidR="00137B04" w:rsidRDefault="00F52629" w:rsidP="00137B04">
      <w:pPr>
        <w:widowControl w:val="0"/>
        <w:autoSpaceDE w:val="0"/>
        <w:autoSpaceDN w:val="0"/>
        <w:adjustRightInd w:val="0"/>
        <w:jc w:val="both"/>
        <w:rPr>
          <w:rFonts w:ascii="Arial" w:eastAsiaTheme="minorHAnsi" w:hAnsi="Arial" w:cs="Arial"/>
          <w:lang w:val="es-ES"/>
        </w:rPr>
      </w:pPr>
      <w:r w:rsidRPr="00A35C16">
        <w:rPr>
          <w:rFonts w:ascii="Arial" w:eastAsiaTheme="minorHAnsi" w:hAnsi="Arial" w:cs="Arial"/>
          <w:b/>
          <w:lang w:val="es-ES"/>
        </w:rPr>
        <w:lastRenderedPageBreak/>
        <w:t>PRESUPUESTO</w:t>
      </w:r>
    </w:p>
    <w:p w:rsidR="00137B04" w:rsidRDefault="00137B04" w:rsidP="00137B04">
      <w:pPr>
        <w:widowControl w:val="0"/>
        <w:autoSpaceDE w:val="0"/>
        <w:autoSpaceDN w:val="0"/>
        <w:adjustRightInd w:val="0"/>
        <w:jc w:val="both"/>
        <w:rPr>
          <w:rFonts w:ascii="Arial" w:eastAsiaTheme="minorHAnsi" w:hAnsi="Arial" w:cs="Arial"/>
          <w:lang w:val="es-ES"/>
        </w:rPr>
      </w:pPr>
    </w:p>
    <w:p w:rsidR="001A213A" w:rsidRPr="00A35C16" w:rsidRDefault="001A213A" w:rsidP="00137B04">
      <w:pPr>
        <w:widowControl w:val="0"/>
        <w:autoSpaceDE w:val="0"/>
        <w:autoSpaceDN w:val="0"/>
        <w:adjustRightInd w:val="0"/>
        <w:jc w:val="both"/>
        <w:rPr>
          <w:rFonts w:ascii="Arial" w:hAnsi="Arial" w:cs="Arial"/>
          <w:b/>
          <w:bCs/>
          <w14:shadow w14:blurRad="50800" w14:dist="38100" w14:dir="2700000" w14:sx="100000" w14:sy="100000" w14:kx="0" w14:ky="0" w14:algn="tl">
            <w14:srgbClr w14:val="000000">
              <w14:alpha w14:val="60000"/>
            </w14:srgbClr>
          </w14:shadow>
        </w:rPr>
      </w:pPr>
      <w:r w:rsidRPr="00A35C16">
        <w:rPr>
          <w:rFonts w:ascii="Arial" w:eastAsiaTheme="minorHAnsi" w:hAnsi="Arial" w:cs="Arial"/>
          <w:lang w:val="es-ES"/>
        </w:rPr>
        <w:t xml:space="preserve">El Consejo de Educación de Puerto Rico </w:t>
      </w:r>
      <w:r w:rsidR="003E5F9B" w:rsidRPr="00A35C16">
        <w:rPr>
          <w:rFonts w:ascii="Arial" w:eastAsiaTheme="minorHAnsi" w:hAnsi="Arial" w:cs="Arial"/>
          <w:lang w:val="es-ES"/>
        </w:rPr>
        <w:t>terminó</w:t>
      </w:r>
      <w:r w:rsidRPr="00A35C16">
        <w:rPr>
          <w:rFonts w:ascii="Arial" w:eastAsiaTheme="minorHAnsi" w:hAnsi="Arial" w:cs="Arial"/>
          <w:lang w:val="es-ES"/>
        </w:rPr>
        <w:t xml:space="preserve"> el año fiscal 2015-2016</w:t>
      </w:r>
      <w:r w:rsidR="003E5F9B" w:rsidRPr="00A35C16">
        <w:rPr>
          <w:rFonts w:ascii="Arial" w:eastAsiaTheme="minorHAnsi" w:hAnsi="Arial" w:cs="Arial"/>
          <w:lang w:val="es-ES"/>
        </w:rPr>
        <w:t xml:space="preserve"> con un presupuesto balanceado, </w:t>
      </w:r>
      <w:r w:rsidRPr="00A35C16">
        <w:rPr>
          <w:rFonts w:ascii="Arial" w:eastAsiaTheme="minorHAnsi" w:hAnsi="Arial" w:cs="Arial"/>
          <w:lang w:val="es-ES"/>
        </w:rPr>
        <w:t>no tiene deudas de años fiscales anteriores</w:t>
      </w:r>
      <w:r w:rsidR="004E7CB0">
        <w:rPr>
          <w:rFonts w:ascii="Arial" w:eastAsiaTheme="minorHAnsi" w:hAnsi="Arial" w:cs="Arial"/>
          <w:lang w:val="es-ES"/>
        </w:rPr>
        <w:t>.</w:t>
      </w:r>
      <w:r w:rsidRPr="00A35C16">
        <w:rPr>
          <w:rFonts w:ascii="Arial" w:eastAsiaTheme="minorHAnsi" w:hAnsi="Arial" w:cs="Arial"/>
          <w:lang w:val="es-ES"/>
        </w:rPr>
        <w:t xml:space="preserve">  </w:t>
      </w:r>
    </w:p>
    <w:p w:rsidR="003E5F9B" w:rsidRPr="00A35C16" w:rsidRDefault="003E5F9B" w:rsidP="00137B04">
      <w:pPr>
        <w:jc w:val="both"/>
        <w:rPr>
          <w:rFonts w:ascii="Arial" w:eastAsiaTheme="minorHAnsi" w:hAnsi="Arial" w:cs="Arial"/>
          <w:lang w:val="es-ES"/>
        </w:rPr>
      </w:pPr>
    </w:p>
    <w:p w:rsidR="001A213A" w:rsidRPr="00A35C16" w:rsidRDefault="0003323A" w:rsidP="00137B04">
      <w:pPr>
        <w:jc w:val="both"/>
        <w:rPr>
          <w:rFonts w:ascii="Arial" w:eastAsiaTheme="minorHAnsi" w:hAnsi="Arial" w:cs="Arial"/>
          <w:lang w:val="es-ES"/>
        </w:rPr>
      </w:pPr>
      <w:r w:rsidRPr="00A35C16">
        <w:rPr>
          <w:rFonts w:ascii="Arial" w:eastAsiaTheme="minorHAnsi" w:hAnsi="Arial" w:cs="Arial"/>
          <w:lang w:val="es-ES"/>
        </w:rPr>
        <w:t>El r</w:t>
      </w:r>
      <w:r w:rsidR="003E5F9B" w:rsidRPr="00A35C16">
        <w:rPr>
          <w:rFonts w:ascii="Arial" w:eastAsiaTheme="minorHAnsi" w:hAnsi="Arial" w:cs="Arial"/>
          <w:lang w:val="es-ES"/>
        </w:rPr>
        <w:t>esumen del presupuesto de la Ag</w:t>
      </w:r>
      <w:r w:rsidRPr="00A35C16">
        <w:rPr>
          <w:rFonts w:ascii="Arial" w:eastAsiaTheme="minorHAnsi" w:hAnsi="Arial" w:cs="Arial"/>
          <w:lang w:val="es-ES"/>
        </w:rPr>
        <w:t>encia para los AF 15-16 y 16-17 es el siguiente:</w:t>
      </w:r>
    </w:p>
    <w:p w:rsidR="003E5F9B" w:rsidRPr="00A35C16" w:rsidRDefault="005E197C" w:rsidP="00137B04">
      <w:pPr>
        <w:jc w:val="both"/>
        <w:rPr>
          <w:rFonts w:ascii="Arial" w:eastAsiaTheme="minorHAnsi" w:hAnsi="Arial" w:cs="Arial"/>
          <w:lang w:val="es-ES"/>
        </w:rPr>
      </w:pPr>
      <w:r w:rsidRPr="00A35C16">
        <w:rPr>
          <w:rFonts w:ascii="Arial" w:eastAsiaTheme="minorHAnsi" w:hAnsi="Arial" w:cs="Arial"/>
          <w:lang w:val="es-ES"/>
        </w:rPr>
        <w:t xml:space="preserve"> </w:t>
      </w:r>
    </w:p>
    <w:tbl>
      <w:tblPr>
        <w:tblpPr w:leftFromText="180" w:rightFromText="180" w:vertAnchor="text" w:tblpX="440" w:tblpY="1"/>
        <w:tblOverlap w:val="never"/>
        <w:tblW w:w="8146" w:type="dxa"/>
        <w:tblCellMar>
          <w:left w:w="0" w:type="dxa"/>
          <w:right w:w="0" w:type="dxa"/>
        </w:tblCellMar>
        <w:tblLook w:val="04A0" w:firstRow="1" w:lastRow="0" w:firstColumn="1" w:lastColumn="0" w:noHBand="0" w:noVBand="1"/>
      </w:tblPr>
      <w:tblGrid>
        <w:gridCol w:w="2659"/>
        <w:gridCol w:w="1829"/>
        <w:gridCol w:w="1829"/>
        <w:gridCol w:w="1829"/>
      </w:tblGrid>
      <w:tr w:rsidR="0003323A" w:rsidRPr="00A35C16" w:rsidTr="005E197C">
        <w:trPr>
          <w:trHeight w:val="364"/>
        </w:trPr>
        <w:tc>
          <w:tcPr>
            <w:tcW w:w="2659" w:type="dxa"/>
            <w:vMerge w:val="restart"/>
            <w:tcBorders>
              <w:top w:val="single" w:sz="8" w:space="0" w:color="auto"/>
              <w:left w:val="single" w:sz="8" w:space="0" w:color="auto"/>
              <w:bottom w:val="single" w:sz="8" w:space="0" w:color="000000"/>
              <w:right w:val="single" w:sz="8" w:space="0" w:color="auto"/>
            </w:tcBorders>
            <w:shd w:val="clear" w:color="auto" w:fill="A8D08D" w:themeFill="accent6" w:themeFillTint="99"/>
            <w:tcMar>
              <w:top w:w="0" w:type="dxa"/>
              <w:left w:w="108" w:type="dxa"/>
              <w:bottom w:w="0" w:type="dxa"/>
              <w:right w:w="108" w:type="dxa"/>
            </w:tcMar>
            <w:vAlign w:val="center"/>
            <w:hideMark/>
          </w:tcPr>
          <w:p w:rsidR="0003323A" w:rsidRPr="00A35C16" w:rsidRDefault="0003323A" w:rsidP="00137B04">
            <w:pPr>
              <w:jc w:val="center"/>
              <w:rPr>
                <w:rFonts w:ascii="Arial" w:eastAsiaTheme="minorHAnsi" w:hAnsi="Arial" w:cs="Arial"/>
                <w:b/>
                <w:bCs/>
                <w:color w:val="000000"/>
              </w:rPr>
            </w:pPr>
            <w:r w:rsidRPr="00A35C16">
              <w:rPr>
                <w:rFonts w:ascii="Arial" w:hAnsi="Arial" w:cs="Arial"/>
                <w:b/>
                <w:bCs/>
                <w:color w:val="000000"/>
              </w:rPr>
              <w:t>Partida</w:t>
            </w:r>
          </w:p>
        </w:tc>
        <w:tc>
          <w:tcPr>
            <w:tcW w:w="1829" w:type="dxa"/>
            <w:tcBorders>
              <w:top w:val="single" w:sz="8" w:space="0" w:color="auto"/>
              <w:left w:val="nil"/>
              <w:bottom w:val="nil"/>
              <w:right w:val="single" w:sz="8" w:space="0" w:color="auto"/>
            </w:tcBorders>
            <w:shd w:val="clear" w:color="auto" w:fill="A8D08D" w:themeFill="accent6" w:themeFillTint="99"/>
            <w:tcMar>
              <w:top w:w="0" w:type="dxa"/>
              <w:left w:w="108" w:type="dxa"/>
              <w:bottom w:w="0" w:type="dxa"/>
              <w:right w:w="108" w:type="dxa"/>
            </w:tcMar>
            <w:vAlign w:val="center"/>
            <w:hideMark/>
          </w:tcPr>
          <w:p w:rsidR="0003323A" w:rsidRPr="00A35C16" w:rsidRDefault="0003323A" w:rsidP="00137B04">
            <w:pPr>
              <w:jc w:val="center"/>
              <w:rPr>
                <w:rFonts w:ascii="Arial" w:eastAsiaTheme="minorHAnsi" w:hAnsi="Arial" w:cs="Arial"/>
                <w:b/>
                <w:bCs/>
                <w:color w:val="000000"/>
              </w:rPr>
            </w:pPr>
            <w:r w:rsidRPr="00A35C16">
              <w:rPr>
                <w:rFonts w:ascii="Arial" w:hAnsi="Arial" w:cs="Arial"/>
                <w:b/>
                <w:bCs/>
                <w:color w:val="000000"/>
              </w:rPr>
              <w:t>FY 2015-2016</w:t>
            </w:r>
          </w:p>
        </w:tc>
        <w:tc>
          <w:tcPr>
            <w:tcW w:w="1829" w:type="dxa"/>
            <w:tcBorders>
              <w:top w:val="single" w:sz="8" w:space="0" w:color="auto"/>
              <w:left w:val="nil"/>
              <w:bottom w:val="nil"/>
              <w:right w:val="single" w:sz="4" w:space="0" w:color="auto"/>
            </w:tcBorders>
            <w:shd w:val="clear" w:color="auto" w:fill="A8D08D" w:themeFill="accent6" w:themeFillTint="99"/>
            <w:vAlign w:val="center"/>
          </w:tcPr>
          <w:p w:rsidR="0003323A" w:rsidRPr="00A35C16" w:rsidRDefault="0003323A" w:rsidP="00137B04">
            <w:pPr>
              <w:jc w:val="center"/>
              <w:rPr>
                <w:rFonts w:ascii="Arial" w:hAnsi="Arial" w:cs="Arial"/>
                <w:b/>
                <w:bCs/>
                <w:color w:val="000000"/>
              </w:rPr>
            </w:pPr>
            <w:r w:rsidRPr="00A35C16">
              <w:rPr>
                <w:rFonts w:ascii="Arial" w:hAnsi="Arial" w:cs="Arial"/>
                <w:b/>
                <w:bCs/>
                <w:color w:val="000000"/>
              </w:rPr>
              <w:t>FY 2015-2016</w:t>
            </w:r>
          </w:p>
        </w:tc>
        <w:tc>
          <w:tcPr>
            <w:tcW w:w="1829" w:type="dxa"/>
            <w:tcBorders>
              <w:top w:val="single" w:sz="8" w:space="0" w:color="auto"/>
              <w:left w:val="single" w:sz="4" w:space="0" w:color="auto"/>
              <w:bottom w:val="nil"/>
              <w:right w:val="single" w:sz="4" w:space="0" w:color="auto"/>
            </w:tcBorders>
            <w:shd w:val="clear" w:color="auto" w:fill="A8D08D" w:themeFill="accent6" w:themeFillTint="99"/>
            <w:vAlign w:val="center"/>
          </w:tcPr>
          <w:p w:rsidR="0003323A" w:rsidRPr="00A35C16" w:rsidRDefault="0003323A" w:rsidP="00137B04">
            <w:pPr>
              <w:jc w:val="center"/>
              <w:rPr>
                <w:rFonts w:ascii="Arial" w:hAnsi="Arial" w:cs="Arial"/>
                <w:b/>
                <w:bCs/>
                <w:color w:val="000000"/>
              </w:rPr>
            </w:pPr>
            <w:r w:rsidRPr="00A35C16">
              <w:rPr>
                <w:rFonts w:ascii="Arial" w:hAnsi="Arial" w:cs="Arial"/>
                <w:b/>
                <w:bCs/>
                <w:color w:val="000000"/>
              </w:rPr>
              <w:t>FY 2016-2017</w:t>
            </w:r>
          </w:p>
        </w:tc>
      </w:tr>
      <w:tr w:rsidR="0003323A" w:rsidRPr="00A35C16" w:rsidTr="005E197C">
        <w:trPr>
          <w:trHeight w:val="364"/>
        </w:trPr>
        <w:tc>
          <w:tcPr>
            <w:tcW w:w="2659" w:type="dxa"/>
            <w:vMerge/>
            <w:tcBorders>
              <w:top w:val="single" w:sz="8" w:space="0" w:color="auto"/>
              <w:left w:val="single" w:sz="8" w:space="0" w:color="auto"/>
              <w:bottom w:val="single" w:sz="8" w:space="0" w:color="000000"/>
              <w:right w:val="single" w:sz="8" w:space="0" w:color="auto"/>
            </w:tcBorders>
            <w:shd w:val="clear" w:color="auto" w:fill="A8D08D" w:themeFill="accent6" w:themeFillTint="99"/>
            <w:vAlign w:val="center"/>
            <w:hideMark/>
          </w:tcPr>
          <w:p w:rsidR="0003323A" w:rsidRPr="00A35C16" w:rsidRDefault="0003323A" w:rsidP="00137B04">
            <w:pPr>
              <w:rPr>
                <w:rFonts w:ascii="Arial" w:eastAsiaTheme="minorHAnsi" w:hAnsi="Arial" w:cs="Arial"/>
                <w:b/>
                <w:bCs/>
                <w:color w:val="000000"/>
              </w:rPr>
            </w:pPr>
          </w:p>
        </w:tc>
        <w:tc>
          <w:tcPr>
            <w:tcW w:w="1829"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center"/>
            <w:hideMark/>
          </w:tcPr>
          <w:p w:rsidR="0003323A" w:rsidRPr="00A35C16" w:rsidRDefault="0003323A" w:rsidP="00137B04">
            <w:pPr>
              <w:jc w:val="center"/>
              <w:rPr>
                <w:rFonts w:ascii="Arial" w:eastAsiaTheme="minorHAnsi" w:hAnsi="Arial" w:cs="Arial"/>
                <w:b/>
                <w:bCs/>
                <w:color w:val="000000"/>
              </w:rPr>
            </w:pPr>
            <w:r w:rsidRPr="00A35C16">
              <w:rPr>
                <w:rFonts w:ascii="Arial" w:hAnsi="Arial" w:cs="Arial"/>
                <w:b/>
                <w:bCs/>
                <w:color w:val="000000"/>
              </w:rPr>
              <w:t>Aprobado</w:t>
            </w:r>
          </w:p>
        </w:tc>
        <w:tc>
          <w:tcPr>
            <w:tcW w:w="1829" w:type="dxa"/>
            <w:tcBorders>
              <w:top w:val="nil"/>
              <w:left w:val="nil"/>
              <w:bottom w:val="single" w:sz="8" w:space="0" w:color="auto"/>
              <w:right w:val="single" w:sz="4" w:space="0" w:color="auto"/>
            </w:tcBorders>
            <w:shd w:val="clear" w:color="auto" w:fill="A8D08D" w:themeFill="accent6" w:themeFillTint="99"/>
            <w:vAlign w:val="center"/>
          </w:tcPr>
          <w:p w:rsidR="0003323A" w:rsidRPr="00A35C16" w:rsidRDefault="0003323A" w:rsidP="00137B04">
            <w:pPr>
              <w:jc w:val="center"/>
              <w:rPr>
                <w:rFonts w:ascii="Arial" w:hAnsi="Arial" w:cs="Arial"/>
                <w:b/>
                <w:bCs/>
                <w:color w:val="000000"/>
              </w:rPr>
            </w:pPr>
            <w:r w:rsidRPr="00A35C16">
              <w:rPr>
                <w:rFonts w:ascii="Arial" w:hAnsi="Arial" w:cs="Arial"/>
                <w:b/>
                <w:bCs/>
                <w:color w:val="000000"/>
              </w:rPr>
              <w:t>Ajustado</w:t>
            </w:r>
          </w:p>
        </w:tc>
        <w:tc>
          <w:tcPr>
            <w:tcW w:w="1829" w:type="dxa"/>
            <w:tcBorders>
              <w:top w:val="nil"/>
              <w:left w:val="single" w:sz="4" w:space="0" w:color="auto"/>
              <w:bottom w:val="single" w:sz="8" w:space="0" w:color="auto"/>
              <w:right w:val="single" w:sz="4" w:space="0" w:color="auto"/>
            </w:tcBorders>
            <w:shd w:val="clear" w:color="auto" w:fill="A8D08D" w:themeFill="accent6" w:themeFillTint="99"/>
            <w:vAlign w:val="center"/>
          </w:tcPr>
          <w:p w:rsidR="0003323A" w:rsidRPr="00A35C16" w:rsidRDefault="002E6E55" w:rsidP="00137B04">
            <w:pPr>
              <w:jc w:val="center"/>
              <w:rPr>
                <w:rFonts w:ascii="Arial" w:hAnsi="Arial" w:cs="Arial"/>
                <w:b/>
                <w:bCs/>
                <w:color w:val="000000"/>
              </w:rPr>
            </w:pPr>
            <w:r>
              <w:rPr>
                <w:rFonts w:ascii="Arial" w:hAnsi="Arial" w:cs="Arial"/>
                <w:b/>
                <w:bCs/>
                <w:color w:val="000000"/>
              </w:rPr>
              <w:t>Aprobado</w:t>
            </w:r>
          </w:p>
        </w:tc>
      </w:tr>
      <w:tr w:rsidR="0003323A" w:rsidRPr="00A35C16" w:rsidTr="005E197C">
        <w:trPr>
          <w:trHeight w:val="364"/>
        </w:trPr>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rPr>
                <w:rFonts w:ascii="Arial" w:eastAsiaTheme="minorHAnsi" w:hAnsi="Arial" w:cs="Arial"/>
                <w:color w:val="000000"/>
              </w:rPr>
            </w:pPr>
            <w:r w:rsidRPr="00A35C16">
              <w:rPr>
                <w:rFonts w:ascii="Arial" w:hAnsi="Arial" w:cs="Arial"/>
                <w:color w:val="000000"/>
              </w:rPr>
              <w:t>Resolución conjunta</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jc w:val="right"/>
              <w:rPr>
                <w:rFonts w:ascii="Arial" w:eastAsiaTheme="minorHAnsi" w:hAnsi="Arial" w:cs="Arial"/>
                <w:b/>
                <w:bCs/>
                <w:color w:val="000000"/>
              </w:rPr>
            </w:pPr>
            <w:r w:rsidRPr="00A35C16">
              <w:rPr>
                <w:rFonts w:ascii="Arial" w:hAnsi="Arial" w:cs="Arial"/>
                <w:b/>
                <w:bCs/>
                <w:color w:val="000000"/>
              </w:rPr>
              <w:t xml:space="preserve">$2,533,000 </w:t>
            </w:r>
          </w:p>
        </w:tc>
        <w:tc>
          <w:tcPr>
            <w:tcW w:w="1829" w:type="dxa"/>
            <w:tcBorders>
              <w:top w:val="nil"/>
              <w:left w:val="nil"/>
              <w:bottom w:val="single" w:sz="8" w:space="0" w:color="auto"/>
              <w:right w:val="single" w:sz="4" w:space="0" w:color="auto"/>
            </w:tcBorders>
            <w:vAlign w:val="center"/>
          </w:tcPr>
          <w:p w:rsidR="0003323A" w:rsidRPr="00A35C16" w:rsidRDefault="0003323A" w:rsidP="00137B04">
            <w:pPr>
              <w:jc w:val="right"/>
              <w:rPr>
                <w:rFonts w:ascii="Arial" w:hAnsi="Arial" w:cs="Arial"/>
                <w:b/>
                <w:bCs/>
                <w:color w:val="000000"/>
              </w:rPr>
            </w:pPr>
            <w:r w:rsidRPr="00A35C16">
              <w:rPr>
                <w:rFonts w:ascii="Arial" w:hAnsi="Arial" w:cs="Arial"/>
                <w:b/>
                <w:bCs/>
                <w:color w:val="000000"/>
              </w:rPr>
              <w:t>$2,430,000</w:t>
            </w:r>
          </w:p>
        </w:tc>
        <w:tc>
          <w:tcPr>
            <w:tcW w:w="1829" w:type="dxa"/>
            <w:tcBorders>
              <w:top w:val="nil"/>
              <w:left w:val="single" w:sz="4" w:space="0" w:color="auto"/>
              <w:bottom w:val="single" w:sz="8" w:space="0" w:color="auto"/>
              <w:right w:val="single" w:sz="4" w:space="0" w:color="auto"/>
            </w:tcBorders>
            <w:vAlign w:val="center"/>
          </w:tcPr>
          <w:p w:rsidR="0003323A" w:rsidRPr="00A35C16" w:rsidRDefault="0003323A" w:rsidP="00137B04">
            <w:pPr>
              <w:jc w:val="right"/>
              <w:rPr>
                <w:rFonts w:ascii="Arial" w:hAnsi="Arial" w:cs="Arial"/>
                <w:b/>
                <w:bCs/>
                <w:color w:val="000000"/>
              </w:rPr>
            </w:pPr>
            <w:r w:rsidRPr="00A35C16">
              <w:rPr>
                <w:rFonts w:ascii="Arial" w:hAnsi="Arial" w:cs="Arial"/>
                <w:b/>
                <w:bCs/>
                <w:color w:val="000000"/>
              </w:rPr>
              <w:t>$2,430,000</w:t>
            </w:r>
          </w:p>
        </w:tc>
      </w:tr>
      <w:tr w:rsidR="0003323A" w:rsidRPr="00A35C16" w:rsidTr="005E197C">
        <w:trPr>
          <w:trHeight w:val="364"/>
        </w:trPr>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rPr>
                <w:rFonts w:ascii="Arial" w:eastAsiaTheme="minorHAnsi" w:hAnsi="Arial" w:cs="Arial"/>
                <w:color w:val="000000"/>
              </w:rPr>
            </w:pPr>
            <w:r w:rsidRPr="00A35C16">
              <w:rPr>
                <w:rFonts w:ascii="Arial" w:hAnsi="Arial" w:cs="Arial"/>
                <w:color w:val="000000"/>
              </w:rPr>
              <w:t>Fondos propios</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jc w:val="right"/>
              <w:rPr>
                <w:rFonts w:ascii="Arial" w:eastAsiaTheme="minorHAnsi" w:hAnsi="Arial" w:cs="Arial"/>
                <w:color w:val="000000"/>
              </w:rPr>
            </w:pPr>
            <w:r w:rsidRPr="00A35C16">
              <w:rPr>
                <w:rFonts w:ascii="Arial" w:hAnsi="Arial" w:cs="Arial"/>
                <w:color w:val="000000"/>
              </w:rPr>
              <w:t>391,000</w:t>
            </w:r>
          </w:p>
        </w:tc>
        <w:tc>
          <w:tcPr>
            <w:tcW w:w="1829" w:type="dxa"/>
            <w:tcBorders>
              <w:top w:val="nil"/>
              <w:left w:val="nil"/>
              <w:bottom w:val="single" w:sz="8" w:space="0" w:color="auto"/>
              <w:right w:val="single" w:sz="4" w:space="0" w:color="auto"/>
            </w:tcBorders>
            <w:vAlign w:val="center"/>
          </w:tcPr>
          <w:p w:rsidR="0003323A" w:rsidRPr="00A35C16" w:rsidRDefault="0003323A" w:rsidP="00137B04">
            <w:pPr>
              <w:jc w:val="right"/>
              <w:rPr>
                <w:rFonts w:ascii="Arial" w:hAnsi="Arial" w:cs="Arial"/>
                <w:bCs/>
                <w:color w:val="000000"/>
              </w:rPr>
            </w:pPr>
            <w:r w:rsidRPr="00A35C16">
              <w:rPr>
                <w:rFonts w:ascii="Arial" w:hAnsi="Arial" w:cs="Arial"/>
                <w:bCs/>
                <w:color w:val="000000"/>
              </w:rPr>
              <w:t>391,000</w:t>
            </w:r>
          </w:p>
        </w:tc>
        <w:tc>
          <w:tcPr>
            <w:tcW w:w="1829" w:type="dxa"/>
            <w:tcBorders>
              <w:top w:val="nil"/>
              <w:left w:val="single" w:sz="4" w:space="0" w:color="auto"/>
              <w:bottom w:val="single" w:sz="8" w:space="0" w:color="auto"/>
              <w:right w:val="single" w:sz="4" w:space="0" w:color="auto"/>
            </w:tcBorders>
            <w:vAlign w:val="center"/>
          </w:tcPr>
          <w:p w:rsidR="0003323A" w:rsidRPr="00A35C16" w:rsidRDefault="0003323A" w:rsidP="00137B04">
            <w:pPr>
              <w:jc w:val="right"/>
              <w:rPr>
                <w:rFonts w:ascii="Arial" w:hAnsi="Arial" w:cs="Arial"/>
                <w:bCs/>
                <w:color w:val="000000"/>
              </w:rPr>
            </w:pPr>
            <w:r w:rsidRPr="00A35C16">
              <w:rPr>
                <w:rFonts w:ascii="Arial" w:hAnsi="Arial" w:cs="Arial"/>
                <w:bCs/>
                <w:color w:val="000000"/>
              </w:rPr>
              <w:t>391,000</w:t>
            </w:r>
          </w:p>
        </w:tc>
      </w:tr>
      <w:tr w:rsidR="0003323A" w:rsidRPr="00A35C16" w:rsidTr="005E197C">
        <w:trPr>
          <w:trHeight w:val="364"/>
        </w:trPr>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rPr>
                <w:rFonts w:ascii="Arial" w:eastAsiaTheme="minorHAnsi" w:hAnsi="Arial" w:cs="Arial"/>
                <w:color w:val="000000"/>
              </w:rPr>
            </w:pPr>
            <w:r w:rsidRPr="00A35C16">
              <w:rPr>
                <w:rFonts w:ascii="Arial" w:hAnsi="Arial" w:cs="Arial"/>
                <w:color w:val="000000"/>
              </w:rPr>
              <w:t>Total presupuesto operacional</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jc w:val="right"/>
              <w:rPr>
                <w:rFonts w:ascii="Arial" w:eastAsiaTheme="minorHAnsi" w:hAnsi="Arial" w:cs="Arial"/>
                <w:color w:val="000000"/>
              </w:rPr>
            </w:pPr>
            <w:r w:rsidRPr="00A35C16">
              <w:rPr>
                <w:rFonts w:ascii="Arial" w:hAnsi="Arial" w:cs="Arial"/>
                <w:color w:val="000000"/>
              </w:rPr>
              <w:t xml:space="preserve">$2,924,000 </w:t>
            </w:r>
          </w:p>
        </w:tc>
        <w:tc>
          <w:tcPr>
            <w:tcW w:w="1829" w:type="dxa"/>
            <w:tcBorders>
              <w:top w:val="nil"/>
              <w:left w:val="nil"/>
              <w:bottom w:val="single" w:sz="8" w:space="0" w:color="auto"/>
              <w:right w:val="single" w:sz="4" w:space="0" w:color="auto"/>
            </w:tcBorders>
            <w:vAlign w:val="center"/>
          </w:tcPr>
          <w:p w:rsidR="0003323A" w:rsidRPr="00A35C16" w:rsidRDefault="0003323A" w:rsidP="00137B04">
            <w:pPr>
              <w:jc w:val="right"/>
              <w:rPr>
                <w:rFonts w:ascii="Arial" w:hAnsi="Arial" w:cs="Arial"/>
                <w:bCs/>
                <w:color w:val="000000"/>
              </w:rPr>
            </w:pPr>
            <w:r w:rsidRPr="00A35C16">
              <w:rPr>
                <w:rFonts w:ascii="Arial" w:hAnsi="Arial" w:cs="Arial"/>
                <w:bCs/>
                <w:color w:val="000000"/>
              </w:rPr>
              <w:t>$2,821,000</w:t>
            </w:r>
          </w:p>
        </w:tc>
        <w:tc>
          <w:tcPr>
            <w:tcW w:w="1829" w:type="dxa"/>
            <w:tcBorders>
              <w:top w:val="nil"/>
              <w:left w:val="single" w:sz="4" w:space="0" w:color="auto"/>
              <w:bottom w:val="single" w:sz="8" w:space="0" w:color="auto"/>
              <w:right w:val="single" w:sz="4" w:space="0" w:color="auto"/>
            </w:tcBorders>
            <w:vAlign w:val="center"/>
          </w:tcPr>
          <w:p w:rsidR="0003323A" w:rsidRPr="00A35C16" w:rsidRDefault="0003323A" w:rsidP="00137B04">
            <w:pPr>
              <w:jc w:val="right"/>
              <w:rPr>
                <w:rFonts w:ascii="Arial" w:hAnsi="Arial" w:cs="Arial"/>
                <w:bCs/>
                <w:color w:val="000000"/>
              </w:rPr>
            </w:pPr>
            <w:r w:rsidRPr="00A35C16">
              <w:rPr>
                <w:rFonts w:ascii="Arial" w:hAnsi="Arial" w:cs="Arial"/>
                <w:bCs/>
                <w:color w:val="000000"/>
              </w:rPr>
              <w:t>2,821,000</w:t>
            </w:r>
          </w:p>
        </w:tc>
      </w:tr>
      <w:tr w:rsidR="0003323A" w:rsidRPr="00A35C16" w:rsidTr="005E197C">
        <w:trPr>
          <w:trHeight w:val="364"/>
        </w:trPr>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ind w:firstLine="400"/>
              <w:rPr>
                <w:rFonts w:ascii="Arial" w:eastAsiaTheme="minorHAnsi" w:hAnsi="Arial" w:cs="Arial"/>
                <w:color w:val="000000"/>
              </w:rPr>
            </w:pPr>
            <w:r w:rsidRPr="00A35C16">
              <w:rPr>
                <w:rFonts w:ascii="Arial" w:hAnsi="Arial" w:cs="Arial"/>
                <w:color w:val="000000"/>
              </w:rPr>
              <w:t>Becas</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jc w:val="right"/>
              <w:rPr>
                <w:rFonts w:ascii="Arial" w:eastAsiaTheme="minorHAnsi" w:hAnsi="Arial" w:cs="Arial"/>
                <w:color w:val="000000"/>
              </w:rPr>
            </w:pPr>
            <w:r w:rsidRPr="00A35C16">
              <w:rPr>
                <w:rFonts w:ascii="Arial" w:hAnsi="Arial" w:cs="Arial"/>
                <w:color w:val="000000"/>
              </w:rPr>
              <w:t>15,000,000</w:t>
            </w:r>
          </w:p>
        </w:tc>
        <w:tc>
          <w:tcPr>
            <w:tcW w:w="1829" w:type="dxa"/>
            <w:tcBorders>
              <w:top w:val="nil"/>
              <w:left w:val="nil"/>
              <w:bottom w:val="single" w:sz="8" w:space="0" w:color="auto"/>
              <w:right w:val="single" w:sz="4" w:space="0" w:color="auto"/>
            </w:tcBorders>
            <w:vAlign w:val="center"/>
          </w:tcPr>
          <w:p w:rsidR="0003323A" w:rsidRPr="00A35C16" w:rsidRDefault="0003323A" w:rsidP="00137B04">
            <w:pPr>
              <w:jc w:val="right"/>
              <w:rPr>
                <w:rFonts w:ascii="Arial" w:hAnsi="Arial" w:cs="Arial"/>
                <w:bCs/>
                <w:color w:val="000000"/>
              </w:rPr>
            </w:pPr>
            <w:r w:rsidRPr="00A35C16">
              <w:rPr>
                <w:rFonts w:ascii="Arial" w:hAnsi="Arial" w:cs="Arial"/>
                <w:bCs/>
                <w:color w:val="000000"/>
              </w:rPr>
              <w:t>8,750,000</w:t>
            </w:r>
          </w:p>
        </w:tc>
        <w:tc>
          <w:tcPr>
            <w:tcW w:w="1829" w:type="dxa"/>
            <w:tcBorders>
              <w:top w:val="nil"/>
              <w:left w:val="single" w:sz="4" w:space="0" w:color="auto"/>
              <w:bottom w:val="single" w:sz="8" w:space="0" w:color="auto"/>
              <w:right w:val="single" w:sz="4" w:space="0" w:color="auto"/>
            </w:tcBorders>
            <w:vAlign w:val="center"/>
          </w:tcPr>
          <w:p w:rsidR="0003323A" w:rsidRPr="00A35C16" w:rsidRDefault="0003323A" w:rsidP="00137B04">
            <w:pPr>
              <w:jc w:val="right"/>
              <w:rPr>
                <w:rFonts w:ascii="Arial" w:hAnsi="Arial" w:cs="Arial"/>
                <w:bCs/>
                <w:color w:val="000000"/>
              </w:rPr>
            </w:pPr>
            <w:r w:rsidRPr="00A35C16">
              <w:rPr>
                <w:rFonts w:ascii="Arial" w:hAnsi="Arial" w:cs="Arial"/>
                <w:bCs/>
                <w:color w:val="000000"/>
              </w:rPr>
              <w:t>7,000,000</w:t>
            </w:r>
          </w:p>
        </w:tc>
      </w:tr>
      <w:tr w:rsidR="0003323A" w:rsidRPr="00A35C16" w:rsidTr="005E197C">
        <w:trPr>
          <w:trHeight w:val="364"/>
        </w:trPr>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ind w:firstLine="400"/>
              <w:rPr>
                <w:rFonts w:ascii="Arial" w:eastAsiaTheme="minorHAnsi" w:hAnsi="Arial" w:cs="Arial"/>
                <w:color w:val="000000"/>
              </w:rPr>
            </w:pPr>
            <w:r w:rsidRPr="00A35C16">
              <w:rPr>
                <w:rFonts w:ascii="Arial" w:hAnsi="Arial" w:cs="Arial"/>
                <w:color w:val="000000"/>
              </w:rPr>
              <w:t>NCLB</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jc w:val="right"/>
              <w:rPr>
                <w:rFonts w:ascii="Arial" w:eastAsiaTheme="minorHAnsi" w:hAnsi="Arial" w:cs="Arial"/>
                <w:color w:val="000000"/>
              </w:rPr>
            </w:pPr>
            <w:r w:rsidRPr="00A35C16">
              <w:rPr>
                <w:rFonts w:ascii="Arial" w:hAnsi="Arial" w:cs="Arial"/>
                <w:color w:val="000000"/>
              </w:rPr>
              <w:t>1,934,000</w:t>
            </w:r>
          </w:p>
        </w:tc>
        <w:tc>
          <w:tcPr>
            <w:tcW w:w="1829" w:type="dxa"/>
            <w:tcBorders>
              <w:top w:val="nil"/>
              <w:left w:val="nil"/>
              <w:bottom w:val="single" w:sz="8" w:space="0" w:color="auto"/>
              <w:right w:val="single" w:sz="4" w:space="0" w:color="auto"/>
            </w:tcBorders>
            <w:vAlign w:val="center"/>
          </w:tcPr>
          <w:p w:rsidR="0003323A" w:rsidRPr="00A35C16" w:rsidRDefault="0003323A" w:rsidP="00137B04">
            <w:pPr>
              <w:jc w:val="right"/>
              <w:rPr>
                <w:rFonts w:ascii="Arial" w:hAnsi="Arial" w:cs="Arial"/>
                <w:bCs/>
                <w:color w:val="000000"/>
              </w:rPr>
            </w:pPr>
            <w:r w:rsidRPr="00A35C16">
              <w:rPr>
                <w:rFonts w:ascii="Arial" w:hAnsi="Arial" w:cs="Arial"/>
                <w:bCs/>
                <w:color w:val="000000"/>
              </w:rPr>
              <w:t>1,934,000</w:t>
            </w:r>
          </w:p>
        </w:tc>
        <w:tc>
          <w:tcPr>
            <w:tcW w:w="1829" w:type="dxa"/>
            <w:tcBorders>
              <w:top w:val="nil"/>
              <w:left w:val="single" w:sz="4" w:space="0" w:color="auto"/>
              <w:bottom w:val="single" w:sz="8" w:space="0" w:color="auto"/>
              <w:right w:val="single" w:sz="4" w:space="0" w:color="auto"/>
            </w:tcBorders>
            <w:vAlign w:val="center"/>
          </w:tcPr>
          <w:p w:rsidR="0003323A" w:rsidRPr="00A35C16" w:rsidRDefault="0003323A" w:rsidP="00137B04">
            <w:pPr>
              <w:jc w:val="right"/>
              <w:rPr>
                <w:rFonts w:ascii="Arial" w:hAnsi="Arial" w:cs="Arial"/>
                <w:bCs/>
                <w:color w:val="000000"/>
              </w:rPr>
            </w:pPr>
            <w:r w:rsidRPr="00A35C16">
              <w:rPr>
                <w:rFonts w:ascii="Arial" w:hAnsi="Arial" w:cs="Arial"/>
                <w:bCs/>
                <w:color w:val="000000"/>
              </w:rPr>
              <w:t>1,934,000</w:t>
            </w:r>
          </w:p>
        </w:tc>
      </w:tr>
      <w:tr w:rsidR="0003323A" w:rsidRPr="00A35C16" w:rsidTr="005E197C">
        <w:trPr>
          <w:trHeight w:val="364"/>
        </w:trPr>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rPr>
                <w:rFonts w:ascii="Arial" w:eastAsiaTheme="minorHAnsi" w:hAnsi="Arial" w:cs="Arial"/>
                <w:color w:val="000000"/>
              </w:rPr>
            </w:pPr>
            <w:r w:rsidRPr="00A35C16">
              <w:rPr>
                <w:rFonts w:ascii="Arial" w:hAnsi="Arial" w:cs="Arial"/>
                <w:color w:val="000000"/>
              </w:rPr>
              <w:t>Total presupuesto consolidado</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23A" w:rsidRPr="00A35C16" w:rsidRDefault="0003323A" w:rsidP="00137B04">
            <w:pPr>
              <w:jc w:val="right"/>
              <w:rPr>
                <w:rFonts w:ascii="Arial" w:eastAsiaTheme="minorHAnsi" w:hAnsi="Arial" w:cs="Arial"/>
                <w:b/>
                <w:bCs/>
                <w:color w:val="000000"/>
              </w:rPr>
            </w:pPr>
            <w:r w:rsidRPr="00A35C16">
              <w:rPr>
                <w:rFonts w:ascii="Arial" w:hAnsi="Arial" w:cs="Arial"/>
                <w:b/>
                <w:bCs/>
                <w:color w:val="000000"/>
              </w:rPr>
              <w:t xml:space="preserve">$19,858,000 </w:t>
            </w:r>
          </w:p>
        </w:tc>
        <w:tc>
          <w:tcPr>
            <w:tcW w:w="1829" w:type="dxa"/>
            <w:tcBorders>
              <w:top w:val="nil"/>
              <w:left w:val="nil"/>
              <w:bottom w:val="single" w:sz="8" w:space="0" w:color="auto"/>
              <w:right w:val="single" w:sz="4" w:space="0" w:color="auto"/>
            </w:tcBorders>
            <w:vAlign w:val="center"/>
          </w:tcPr>
          <w:p w:rsidR="0003323A" w:rsidRPr="00A35C16" w:rsidRDefault="0003323A" w:rsidP="00137B04">
            <w:pPr>
              <w:jc w:val="right"/>
              <w:rPr>
                <w:rFonts w:ascii="Arial" w:hAnsi="Arial" w:cs="Arial"/>
                <w:b/>
                <w:bCs/>
                <w:color w:val="000000"/>
              </w:rPr>
            </w:pPr>
            <w:r w:rsidRPr="00A35C16">
              <w:rPr>
                <w:rFonts w:ascii="Arial" w:hAnsi="Arial" w:cs="Arial"/>
                <w:b/>
                <w:bCs/>
                <w:color w:val="000000"/>
              </w:rPr>
              <w:t>$13,505,000</w:t>
            </w:r>
          </w:p>
        </w:tc>
        <w:tc>
          <w:tcPr>
            <w:tcW w:w="1829" w:type="dxa"/>
            <w:tcBorders>
              <w:top w:val="nil"/>
              <w:left w:val="single" w:sz="4" w:space="0" w:color="auto"/>
              <w:bottom w:val="single" w:sz="8" w:space="0" w:color="auto"/>
              <w:right w:val="single" w:sz="4" w:space="0" w:color="auto"/>
            </w:tcBorders>
            <w:vAlign w:val="center"/>
          </w:tcPr>
          <w:p w:rsidR="0003323A" w:rsidRPr="00A35C16" w:rsidRDefault="0003323A" w:rsidP="00137B04">
            <w:pPr>
              <w:jc w:val="right"/>
              <w:rPr>
                <w:rFonts w:ascii="Arial" w:hAnsi="Arial" w:cs="Arial"/>
                <w:b/>
                <w:bCs/>
                <w:color w:val="000000"/>
              </w:rPr>
            </w:pPr>
            <w:r w:rsidRPr="00A35C16">
              <w:rPr>
                <w:rFonts w:ascii="Arial" w:hAnsi="Arial" w:cs="Arial"/>
                <w:b/>
                <w:bCs/>
                <w:color w:val="000000"/>
              </w:rPr>
              <w:t>11,755,000</w:t>
            </w:r>
          </w:p>
        </w:tc>
      </w:tr>
    </w:tbl>
    <w:p w:rsidR="003E5F9B" w:rsidRPr="00A35C16" w:rsidRDefault="005E197C" w:rsidP="00137B04">
      <w:pPr>
        <w:jc w:val="both"/>
        <w:rPr>
          <w:rFonts w:ascii="Arial" w:hAnsi="Arial" w:cs="Arial"/>
          <w:spacing w:val="-3"/>
          <w14:shadow w14:blurRad="50800" w14:dist="38100" w14:dir="2700000" w14:sx="100000" w14:sy="100000" w14:kx="0" w14:ky="0" w14:algn="tl">
            <w14:srgbClr w14:val="000000">
              <w14:alpha w14:val="60000"/>
            </w14:srgbClr>
          </w14:shadow>
        </w:rPr>
      </w:pPr>
      <w:r w:rsidRPr="00A35C16">
        <w:rPr>
          <w:rFonts w:ascii="Arial" w:hAnsi="Arial" w:cs="Arial"/>
          <w:spacing w:val="-3"/>
          <w14:shadow w14:blurRad="50800" w14:dist="38100" w14:dir="2700000" w14:sx="100000" w14:sy="100000" w14:kx="0" w14:ky="0" w14:algn="tl">
            <w14:srgbClr w14:val="000000">
              <w14:alpha w14:val="60000"/>
            </w14:srgbClr>
          </w14:shadow>
        </w:rPr>
        <w:br w:type="textWrapping" w:clear="all"/>
      </w:r>
    </w:p>
    <w:p w:rsidR="001A213A" w:rsidRPr="00A35C16" w:rsidRDefault="00EB732C" w:rsidP="00137B04">
      <w:pPr>
        <w:ind w:left="90"/>
        <w:jc w:val="both"/>
        <w:rPr>
          <w:rFonts w:ascii="Arial" w:eastAsiaTheme="minorHAnsi" w:hAnsi="Arial" w:cs="Arial"/>
          <w:lang w:val="es-ES"/>
        </w:rPr>
      </w:pPr>
      <w:r w:rsidRPr="00A35C16">
        <w:rPr>
          <w:rFonts w:ascii="Arial" w:eastAsiaTheme="minorHAnsi" w:hAnsi="Arial" w:cs="Arial"/>
          <w:lang w:val="es-ES"/>
        </w:rPr>
        <w:t xml:space="preserve">El </w:t>
      </w:r>
      <w:r w:rsidR="001A213A" w:rsidRPr="00A35C16">
        <w:rPr>
          <w:rFonts w:ascii="Arial" w:eastAsiaTheme="minorHAnsi" w:hAnsi="Arial" w:cs="Arial"/>
          <w:lang w:val="es-ES"/>
        </w:rPr>
        <w:t>detalle de las economías logradas durante el año fiscal 2015-2016 en comparación con el año fiscal 2014-2015:</w:t>
      </w:r>
    </w:p>
    <w:p w:rsidR="001A213A" w:rsidRPr="00A35C16" w:rsidRDefault="001A213A" w:rsidP="00137B04">
      <w:pPr>
        <w:ind w:left="540"/>
        <w:jc w:val="both"/>
        <w:rPr>
          <w:rFonts w:ascii="Arial" w:hAnsi="Arial" w:cs="Arial"/>
          <w:spacing w:val="-3"/>
          <w:lang w:val="es-ES"/>
          <w14:shadow w14:blurRad="50800" w14:dist="38100" w14:dir="2700000" w14:sx="100000" w14:sy="100000" w14:kx="0" w14:ky="0" w14:algn="tl">
            <w14:srgbClr w14:val="000000">
              <w14:alpha w14:val="60000"/>
            </w14:srgbClr>
          </w14:shadow>
        </w:rPr>
      </w:pPr>
    </w:p>
    <w:tbl>
      <w:tblPr>
        <w:tblStyle w:val="TableGrid"/>
        <w:tblW w:w="0" w:type="auto"/>
        <w:tblInd w:w="1638" w:type="dxa"/>
        <w:tblLook w:val="04A0" w:firstRow="1" w:lastRow="0" w:firstColumn="1" w:lastColumn="0" w:noHBand="0" w:noVBand="1"/>
      </w:tblPr>
      <w:tblGrid>
        <w:gridCol w:w="3694"/>
        <w:gridCol w:w="2381"/>
      </w:tblGrid>
      <w:tr w:rsidR="001A213A" w:rsidRPr="00A35C16" w:rsidTr="00EB732C">
        <w:trPr>
          <w:trHeight w:val="263"/>
        </w:trPr>
        <w:tc>
          <w:tcPr>
            <w:tcW w:w="3694" w:type="dxa"/>
            <w:shd w:val="clear" w:color="auto" w:fill="A8D08D" w:themeFill="accent6" w:themeFillTint="99"/>
          </w:tcPr>
          <w:p w:rsidR="001A213A" w:rsidRPr="00A35C16" w:rsidRDefault="001A213A" w:rsidP="00137B04">
            <w:pPr>
              <w:jc w:val="center"/>
              <w:rPr>
                <w:rFonts w:ascii="Arial" w:hAnsi="Arial" w:cs="Arial"/>
                <w:b/>
                <w:color w:val="000000"/>
              </w:rPr>
            </w:pPr>
            <w:r w:rsidRPr="00A35C16">
              <w:rPr>
                <w:rFonts w:ascii="Arial" w:hAnsi="Arial" w:cs="Arial"/>
                <w:b/>
                <w:color w:val="000000"/>
              </w:rPr>
              <w:t>Concepto</w:t>
            </w:r>
          </w:p>
        </w:tc>
        <w:tc>
          <w:tcPr>
            <w:tcW w:w="2381" w:type="dxa"/>
            <w:shd w:val="clear" w:color="auto" w:fill="A8D08D" w:themeFill="accent6" w:themeFillTint="99"/>
          </w:tcPr>
          <w:p w:rsidR="001A213A" w:rsidRPr="00A35C16" w:rsidRDefault="001A213A" w:rsidP="00137B04">
            <w:pPr>
              <w:jc w:val="center"/>
              <w:rPr>
                <w:rFonts w:ascii="Arial" w:hAnsi="Arial" w:cs="Arial"/>
                <w:b/>
                <w:color w:val="000000"/>
              </w:rPr>
            </w:pPr>
            <w:r w:rsidRPr="00A35C16">
              <w:rPr>
                <w:rFonts w:ascii="Arial" w:hAnsi="Arial" w:cs="Arial"/>
                <w:b/>
                <w:color w:val="000000"/>
              </w:rPr>
              <w:t>Cantidad</w:t>
            </w:r>
          </w:p>
        </w:tc>
      </w:tr>
      <w:tr w:rsidR="001A213A" w:rsidRPr="00A35C16" w:rsidTr="00EB732C">
        <w:trPr>
          <w:trHeight w:val="484"/>
        </w:trPr>
        <w:tc>
          <w:tcPr>
            <w:tcW w:w="3694" w:type="dxa"/>
          </w:tcPr>
          <w:p w:rsidR="001A213A" w:rsidRPr="00A35C16" w:rsidRDefault="001A213A" w:rsidP="00137B04">
            <w:pPr>
              <w:jc w:val="both"/>
              <w:rPr>
                <w:rFonts w:ascii="Arial" w:hAnsi="Arial" w:cs="Arial"/>
                <w:bCs/>
                <w:smallCaps/>
                <w:lang w:val="es-ES"/>
              </w:rPr>
            </w:pPr>
            <w:r w:rsidRPr="00A35C16">
              <w:rPr>
                <w:rFonts w:ascii="Arial" w:hAnsi="Arial" w:cs="Arial"/>
                <w:bCs/>
                <w:smallCaps/>
                <w:lang w:val="es-ES"/>
              </w:rPr>
              <w:t>Servicios Profesionales</w:t>
            </w:r>
          </w:p>
        </w:tc>
        <w:tc>
          <w:tcPr>
            <w:tcW w:w="2381" w:type="dxa"/>
          </w:tcPr>
          <w:p w:rsidR="001A213A" w:rsidRPr="00A35C16" w:rsidRDefault="001A213A" w:rsidP="00137B04">
            <w:pPr>
              <w:jc w:val="right"/>
              <w:rPr>
                <w:rFonts w:ascii="Arial" w:hAnsi="Arial" w:cs="Arial"/>
                <w:bCs/>
                <w:smallCaps/>
                <w:lang w:val="es-ES"/>
              </w:rPr>
            </w:pPr>
            <w:r w:rsidRPr="00A35C16">
              <w:rPr>
                <w:rFonts w:ascii="Arial" w:hAnsi="Arial" w:cs="Arial"/>
                <w:bCs/>
                <w:smallCaps/>
                <w:lang w:val="es-ES"/>
              </w:rPr>
              <w:t>$167,000</w:t>
            </w:r>
          </w:p>
        </w:tc>
      </w:tr>
      <w:tr w:rsidR="001A213A" w:rsidRPr="00A35C16" w:rsidTr="00EB732C">
        <w:trPr>
          <w:trHeight w:val="363"/>
        </w:trPr>
        <w:tc>
          <w:tcPr>
            <w:tcW w:w="3694" w:type="dxa"/>
          </w:tcPr>
          <w:p w:rsidR="001A213A" w:rsidRPr="00A35C16" w:rsidRDefault="001A213A" w:rsidP="00137B04">
            <w:pPr>
              <w:jc w:val="both"/>
              <w:rPr>
                <w:rFonts w:ascii="Arial" w:hAnsi="Arial" w:cs="Arial"/>
                <w:bCs/>
                <w:smallCaps/>
                <w:lang w:val="es-ES"/>
              </w:rPr>
            </w:pPr>
            <w:r w:rsidRPr="00A35C16">
              <w:rPr>
                <w:rFonts w:ascii="Arial" w:hAnsi="Arial" w:cs="Arial"/>
                <w:bCs/>
                <w:smallCaps/>
                <w:lang w:val="es-ES"/>
              </w:rPr>
              <w:t>Servicios Comprados</w:t>
            </w:r>
          </w:p>
        </w:tc>
        <w:tc>
          <w:tcPr>
            <w:tcW w:w="2381" w:type="dxa"/>
          </w:tcPr>
          <w:p w:rsidR="001A213A" w:rsidRPr="00A35C16" w:rsidRDefault="001A213A" w:rsidP="00137B04">
            <w:pPr>
              <w:jc w:val="right"/>
              <w:rPr>
                <w:rFonts w:ascii="Arial" w:hAnsi="Arial" w:cs="Arial"/>
                <w:bCs/>
                <w:smallCaps/>
                <w:lang w:val="es-ES"/>
              </w:rPr>
            </w:pPr>
            <w:r w:rsidRPr="00A35C16">
              <w:rPr>
                <w:rFonts w:ascii="Arial" w:hAnsi="Arial" w:cs="Arial"/>
                <w:bCs/>
                <w:smallCaps/>
                <w:lang w:val="es-ES"/>
              </w:rPr>
              <w:t>40,000</w:t>
            </w:r>
          </w:p>
        </w:tc>
      </w:tr>
      <w:tr w:rsidR="001A213A" w:rsidRPr="00A35C16" w:rsidTr="00EB732C">
        <w:trPr>
          <w:trHeight w:val="363"/>
        </w:trPr>
        <w:tc>
          <w:tcPr>
            <w:tcW w:w="3694" w:type="dxa"/>
          </w:tcPr>
          <w:p w:rsidR="001A213A" w:rsidRPr="00A35C16" w:rsidRDefault="001A213A" w:rsidP="00137B04">
            <w:pPr>
              <w:jc w:val="both"/>
              <w:rPr>
                <w:rFonts w:ascii="Arial" w:hAnsi="Arial" w:cs="Arial"/>
                <w:bCs/>
                <w:smallCaps/>
                <w:lang w:val="es-ES"/>
              </w:rPr>
            </w:pPr>
            <w:r w:rsidRPr="00A35C16">
              <w:rPr>
                <w:rFonts w:ascii="Arial" w:hAnsi="Arial" w:cs="Arial"/>
                <w:bCs/>
                <w:smallCaps/>
                <w:lang w:val="es-ES"/>
              </w:rPr>
              <w:t>Servicio Energía Eléctrica</w:t>
            </w:r>
          </w:p>
        </w:tc>
        <w:tc>
          <w:tcPr>
            <w:tcW w:w="2381" w:type="dxa"/>
          </w:tcPr>
          <w:p w:rsidR="001A213A" w:rsidRPr="00A35C16" w:rsidRDefault="001A213A" w:rsidP="00137B04">
            <w:pPr>
              <w:jc w:val="right"/>
              <w:rPr>
                <w:rFonts w:ascii="Arial" w:hAnsi="Arial" w:cs="Arial"/>
                <w:bCs/>
                <w:smallCaps/>
                <w:lang w:val="es-ES"/>
              </w:rPr>
            </w:pPr>
            <w:r w:rsidRPr="00A35C16">
              <w:rPr>
                <w:rFonts w:ascii="Arial" w:hAnsi="Arial" w:cs="Arial"/>
                <w:bCs/>
                <w:smallCaps/>
                <w:lang w:val="es-ES"/>
              </w:rPr>
              <w:t>28,000</w:t>
            </w:r>
          </w:p>
        </w:tc>
      </w:tr>
      <w:tr w:rsidR="001A213A" w:rsidRPr="00A35C16" w:rsidTr="00CF1AF2">
        <w:trPr>
          <w:trHeight w:val="400"/>
        </w:trPr>
        <w:tc>
          <w:tcPr>
            <w:tcW w:w="3694" w:type="dxa"/>
            <w:shd w:val="clear" w:color="auto" w:fill="auto"/>
          </w:tcPr>
          <w:p w:rsidR="001A213A" w:rsidRPr="00A35C16" w:rsidRDefault="001A213A" w:rsidP="00137B04">
            <w:pPr>
              <w:rPr>
                <w:rFonts w:ascii="Arial" w:hAnsi="Arial" w:cs="Arial"/>
                <w:b/>
                <w:color w:val="000000"/>
              </w:rPr>
            </w:pPr>
            <w:r w:rsidRPr="00A35C16">
              <w:rPr>
                <w:rFonts w:ascii="Arial" w:hAnsi="Arial" w:cs="Arial"/>
                <w:b/>
                <w:color w:val="000000"/>
              </w:rPr>
              <w:t xml:space="preserve">TOTAL </w:t>
            </w:r>
          </w:p>
        </w:tc>
        <w:tc>
          <w:tcPr>
            <w:tcW w:w="2381" w:type="dxa"/>
            <w:shd w:val="clear" w:color="auto" w:fill="auto"/>
          </w:tcPr>
          <w:p w:rsidR="001A213A" w:rsidRPr="00A35C16" w:rsidRDefault="001A213A" w:rsidP="00137B04">
            <w:pPr>
              <w:jc w:val="right"/>
              <w:rPr>
                <w:rFonts w:ascii="Arial" w:hAnsi="Arial" w:cs="Arial"/>
                <w:b/>
                <w:color w:val="000000"/>
              </w:rPr>
            </w:pPr>
            <w:r w:rsidRPr="00A35C16">
              <w:rPr>
                <w:rFonts w:ascii="Arial" w:hAnsi="Arial" w:cs="Arial"/>
                <w:b/>
                <w:color w:val="000000"/>
              </w:rPr>
              <w:t>$235,000</w:t>
            </w:r>
          </w:p>
        </w:tc>
      </w:tr>
    </w:tbl>
    <w:p w:rsidR="00137B04" w:rsidRDefault="00137B04" w:rsidP="00137B04">
      <w:pPr>
        <w:widowControl w:val="0"/>
        <w:autoSpaceDE w:val="0"/>
        <w:autoSpaceDN w:val="0"/>
        <w:adjustRightInd w:val="0"/>
        <w:jc w:val="both"/>
        <w:rPr>
          <w:rFonts w:ascii="Arial" w:hAnsi="Arial" w:cs="Arial"/>
          <w:b/>
        </w:rPr>
      </w:pPr>
    </w:p>
    <w:p w:rsidR="005A335E" w:rsidRDefault="005A335E" w:rsidP="00137B04">
      <w:pPr>
        <w:widowControl w:val="0"/>
        <w:autoSpaceDE w:val="0"/>
        <w:autoSpaceDN w:val="0"/>
        <w:adjustRightInd w:val="0"/>
        <w:jc w:val="both"/>
        <w:rPr>
          <w:rFonts w:ascii="Arial" w:hAnsi="Arial" w:cs="Arial"/>
          <w:b/>
        </w:rPr>
      </w:pPr>
      <w:r w:rsidRPr="00A35C16">
        <w:rPr>
          <w:rFonts w:ascii="Arial" w:hAnsi="Arial" w:cs="Arial"/>
          <w:b/>
        </w:rPr>
        <w:t xml:space="preserve">LOGROS </w:t>
      </w:r>
    </w:p>
    <w:p w:rsidR="00E62A22" w:rsidRDefault="00E62A22" w:rsidP="00137B04">
      <w:pPr>
        <w:widowControl w:val="0"/>
        <w:autoSpaceDE w:val="0"/>
        <w:autoSpaceDN w:val="0"/>
        <w:adjustRightInd w:val="0"/>
        <w:jc w:val="both"/>
        <w:rPr>
          <w:rFonts w:ascii="Arial" w:hAnsi="Arial" w:cs="Arial"/>
          <w:b/>
        </w:rPr>
      </w:pPr>
    </w:p>
    <w:p w:rsidR="00200807" w:rsidRPr="003B4020" w:rsidRDefault="00200807" w:rsidP="00137B04">
      <w:pPr>
        <w:jc w:val="both"/>
        <w:rPr>
          <w:rFonts w:ascii="Arial" w:hAnsi="Arial" w:cs="Arial"/>
        </w:rPr>
      </w:pPr>
      <w:r w:rsidRPr="003B4020">
        <w:rPr>
          <w:rFonts w:ascii="Arial" w:eastAsia="Calibri" w:hAnsi="Arial" w:cs="Arial"/>
          <w:lang w:val="es-ES_tradnl"/>
        </w:rPr>
        <w:t xml:space="preserve">El CEPR, como parte de su agenda de desarrollo y proyección futura, recibió un informe encomendado a </w:t>
      </w:r>
      <w:r w:rsidRPr="003B4020">
        <w:rPr>
          <w:rFonts w:ascii="Arial" w:eastAsia="Calibri" w:hAnsi="Arial" w:cs="Arial"/>
          <w:i/>
          <w:lang w:val="es-ES_tradnl"/>
        </w:rPr>
        <w:t>Advantage Business Consulting</w:t>
      </w:r>
      <w:r w:rsidRPr="003B4020">
        <w:rPr>
          <w:rFonts w:ascii="Arial" w:eastAsia="Calibri" w:hAnsi="Arial" w:cs="Arial"/>
          <w:lang w:val="es-ES_tradnl"/>
        </w:rPr>
        <w:t xml:space="preserve"> y al Dr. César Rey para desarrollar un Plan Estratégico para la Agencia y su rol en la educación en Puerto Rico.  Tomando ese Plan en consideración y los más </w:t>
      </w:r>
      <w:r w:rsidRPr="003B4020">
        <w:rPr>
          <w:rFonts w:ascii="Arial" w:hAnsi="Arial" w:cs="Arial"/>
        </w:rPr>
        <w:t>de dos años de reuniones con diferentes sectores (educación, industria, gobierno, sindicatos y asociaciones profesionales), y el resultado de varios estudios y congresos, el CEPR, como el organismo de licenciamiento y acreditación busca fortalecer y dar continuidad a los siguientes lineamientos:</w:t>
      </w:r>
    </w:p>
    <w:p w:rsidR="00200807" w:rsidRPr="003B4020" w:rsidRDefault="00200807" w:rsidP="00137B04">
      <w:pPr>
        <w:jc w:val="both"/>
        <w:rPr>
          <w:rFonts w:ascii="Arial" w:hAnsi="Arial" w:cs="Arial"/>
        </w:rPr>
      </w:pPr>
    </w:p>
    <w:p w:rsidR="00200807" w:rsidRPr="000A3CC9" w:rsidRDefault="00200807" w:rsidP="00137B04">
      <w:pPr>
        <w:pStyle w:val="ListParagraph"/>
        <w:numPr>
          <w:ilvl w:val="0"/>
          <w:numId w:val="17"/>
        </w:numPr>
        <w:spacing w:after="0" w:line="240" w:lineRule="auto"/>
        <w:ind w:left="810" w:hanging="450"/>
        <w:jc w:val="both"/>
        <w:rPr>
          <w:rFonts w:ascii="Arial" w:hAnsi="Arial" w:cs="Arial"/>
          <w:sz w:val="24"/>
          <w:szCs w:val="24"/>
          <w:lang w:val="es-PR"/>
        </w:rPr>
      </w:pPr>
      <w:r w:rsidRPr="000A3CC9">
        <w:rPr>
          <w:rFonts w:ascii="Arial" w:hAnsi="Arial" w:cs="Arial"/>
          <w:sz w:val="24"/>
          <w:szCs w:val="24"/>
          <w:lang w:val="es-PR"/>
        </w:rPr>
        <w:t>Establecer metas claras para el proceso de enseñanza-aprendizaje y para el desarrollo económico y social de Puerto Rico.</w:t>
      </w:r>
    </w:p>
    <w:p w:rsidR="00200807" w:rsidRPr="000A3CC9" w:rsidRDefault="00200807" w:rsidP="00137B04">
      <w:pPr>
        <w:pStyle w:val="ListParagraph"/>
        <w:numPr>
          <w:ilvl w:val="0"/>
          <w:numId w:val="17"/>
        </w:numPr>
        <w:spacing w:after="0" w:line="240" w:lineRule="auto"/>
        <w:ind w:left="810" w:hanging="450"/>
        <w:jc w:val="both"/>
        <w:rPr>
          <w:rFonts w:ascii="Arial" w:hAnsi="Arial" w:cs="Arial"/>
          <w:sz w:val="24"/>
          <w:szCs w:val="24"/>
          <w:lang w:val="es-PR"/>
        </w:rPr>
      </w:pPr>
      <w:r w:rsidRPr="000A3CC9">
        <w:rPr>
          <w:rFonts w:ascii="Arial" w:hAnsi="Arial" w:cs="Arial"/>
          <w:sz w:val="24"/>
          <w:szCs w:val="24"/>
          <w:lang w:val="es-PR"/>
        </w:rPr>
        <w:t>Lograr acuerdos entre diversos sectores para promover esas metas.</w:t>
      </w:r>
    </w:p>
    <w:p w:rsidR="00200807" w:rsidRPr="000A3CC9" w:rsidRDefault="00200807" w:rsidP="00137B04">
      <w:pPr>
        <w:pStyle w:val="ListParagraph"/>
        <w:numPr>
          <w:ilvl w:val="0"/>
          <w:numId w:val="17"/>
        </w:numPr>
        <w:spacing w:after="0" w:line="240" w:lineRule="auto"/>
        <w:ind w:left="810" w:hanging="450"/>
        <w:jc w:val="both"/>
        <w:rPr>
          <w:rFonts w:ascii="Arial" w:hAnsi="Arial" w:cs="Arial"/>
          <w:sz w:val="24"/>
          <w:szCs w:val="24"/>
          <w:lang w:val="es-PR"/>
        </w:rPr>
      </w:pPr>
      <w:r w:rsidRPr="000A3CC9">
        <w:rPr>
          <w:rFonts w:ascii="Arial" w:hAnsi="Arial" w:cs="Arial"/>
          <w:sz w:val="24"/>
          <w:szCs w:val="24"/>
          <w:lang w:val="es-PR"/>
        </w:rPr>
        <w:t>Desarrollar una visión multipartidista para alcanzar una educación de clase mundial-local.</w:t>
      </w:r>
    </w:p>
    <w:p w:rsidR="00200807" w:rsidRPr="000A3CC9" w:rsidRDefault="00200807" w:rsidP="00137B04">
      <w:pPr>
        <w:pStyle w:val="ListParagraph"/>
        <w:numPr>
          <w:ilvl w:val="0"/>
          <w:numId w:val="17"/>
        </w:numPr>
        <w:spacing w:after="0" w:line="240" w:lineRule="auto"/>
        <w:ind w:left="810" w:hanging="450"/>
        <w:jc w:val="both"/>
        <w:rPr>
          <w:rFonts w:ascii="Arial" w:hAnsi="Arial" w:cs="Arial"/>
          <w:sz w:val="24"/>
          <w:szCs w:val="24"/>
          <w:lang w:val="es-PR"/>
        </w:rPr>
      </w:pPr>
      <w:r w:rsidRPr="000A3CC9">
        <w:rPr>
          <w:rFonts w:ascii="Arial" w:hAnsi="Arial" w:cs="Arial"/>
          <w:sz w:val="24"/>
          <w:szCs w:val="24"/>
          <w:lang w:val="es-PR"/>
        </w:rPr>
        <w:t>Integrar la educación a la economía y la economía a la educación.</w:t>
      </w:r>
    </w:p>
    <w:p w:rsidR="00200807" w:rsidRPr="000A3CC9" w:rsidRDefault="00200807" w:rsidP="00137B04">
      <w:pPr>
        <w:pStyle w:val="ListParagraph"/>
        <w:numPr>
          <w:ilvl w:val="0"/>
          <w:numId w:val="17"/>
        </w:numPr>
        <w:spacing w:after="0" w:line="240" w:lineRule="auto"/>
        <w:ind w:left="810" w:hanging="450"/>
        <w:jc w:val="both"/>
        <w:rPr>
          <w:rFonts w:ascii="Arial" w:hAnsi="Arial" w:cs="Arial"/>
          <w:sz w:val="24"/>
          <w:szCs w:val="24"/>
          <w:lang w:val="es-PR"/>
        </w:rPr>
      </w:pPr>
      <w:r w:rsidRPr="000A3CC9">
        <w:rPr>
          <w:rFonts w:ascii="Arial" w:hAnsi="Arial" w:cs="Arial"/>
          <w:sz w:val="24"/>
          <w:szCs w:val="24"/>
          <w:lang w:val="es-PR"/>
        </w:rPr>
        <w:t>Desarrollar una educación orientada a la innovación y al fortalecimiento del empresarismo local y el desarrollo social.</w:t>
      </w:r>
    </w:p>
    <w:p w:rsidR="00200807" w:rsidRPr="000A3CC9" w:rsidRDefault="00200807" w:rsidP="00137B04">
      <w:pPr>
        <w:pStyle w:val="ListParagraph"/>
        <w:numPr>
          <w:ilvl w:val="0"/>
          <w:numId w:val="17"/>
        </w:numPr>
        <w:spacing w:after="0" w:line="240" w:lineRule="auto"/>
        <w:ind w:left="810" w:hanging="450"/>
        <w:jc w:val="both"/>
        <w:rPr>
          <w:rFonts w:ascii="Arial" w:hAnsi="Arial" w:cs="Arial"/>
          <w:sz w:val="24"/>
          <w:szCs w:val="24"/>
          <w:lang w:val="es-PR"/>
        </w:rPr>
      </w:pPr>
      <w:r w:rsidRPr="000A3CC9">
        <w:rPr>
          <w:rFonts w:ascii="Arial" w:hAnsi="Arial" w:cs="Arial"/>
          <w:sz w:val="24"/>
          <w:szCs w:val="24"/>
          <w:lang w:val="es-PR"/>
        </w:rPr>
        <w:lastRenderedPageBreak/>
        <w:t>Desarrollar una visión integrada del continuo educativo desde el nivel prescolar, el técnico-universitario y trabajo.</w:t>
      </w:r>
    </w:p>
    <w:p w:rsidR="00E62A22" w:rsidRPr="000A3CC9" w:rsidRDefault="00200807" w:rsidP="00137B04">
      <w:pPr>
        <w:pStyle w:val="ListParagraph"/>
        <w:numPr>
          <w:ilvl w:val="0"/>
          <w:numId w:val="17"/>
        </w:numPr>
        <w:spacing w:after="0" w:line="240" w:lineRule="auto"/>
        <w:ind w:left="810" w:hanging="450"/>
        <w:jc w:val="both"/>
        <w:rPr>
          <w:rFonts w:ascii="Arial" w:hAnsi="Arial" w:cs="Arial"/>
          <w:sz w:val="24"/>
          <w:szCs w:val="24"/>
          <w:lang w:val="es-PR"/>
        </w:rPr>
      </w:pPr>
      <w:r w:rsidRPr="000A3CC9">
        <w:rPr>
          <w:rFonts w:ascii="Arial" w:hAnsi="Arial" w:cs="Arial"/>
          <w:sz w:val="24"/>
          <w:szCs w:val="24"/>
          <w:lang w:val="es-PR"/>
        </w:rPr>
        <w:t>Actuar como el ente aglutinador de los diferentes sectores pertinentes para el desarrollo de la educación en la Isla.</w:t>
      </w:r>
    </w:p>
    <w:p w:rsidR="00137B04" w:rsidRDefault="00137B04" w:rsidP="00137B04">
      <w:pPr>
        <w:pStyle w:val="Heading1"/>
        <w:spacing w:before="0"/>
        <w:rPr>
          <w:rFonts w:ascii="Arial" w:hAnsi="Arial" w:cs="Arial"/>
          <w:b/>
          <w:color w:val="auto"/>
          <w:sz w:val="24"/>
          <w:szCs w:val="24"/>
          <w:lang w:val="es-PR"/>
        </w:rPr>
      </w:pPr>
    </w:p>
    <w:p w:rsidR="005A335E" w:rsidRPr="00A35C16" w:rsidRDefault="005A335E" w:rsidP="00137B04">
      <w:pPr>
        <w:pStyle w:val="Heading1"/>
        <w:spacing w:before="0"/>
        <w:rPr>
          <w:rFonts w:ascii="Arial" w:hAnsi="Arial" w:cs="Arial"/>
          <w:b/>
          <w:color w:val="auto"/>
          <w:sz w:val="24"/>
          <w:szCs w:val="24"/>
          <w:lang w:val="es-PR"/>
        </w:rPr>
      </w:pPr>
      <w:r w:rsidRPr="00A35C16">
        <w:rPr>
          <w:rFonts w:ascii="Arial" w:hAnsi="Arial" w:cs="Arial"/>
          <w:b/>
          <w:color w:val="auto"/>
          <w:sz w:val="24"/>
          <w:szCs w:val="24"/>
          <w:lang w:val="es-PR"/>
        </w:rPr>
        <w:t>ÁREA DE LICENCIAMIENTO Y ACREDITACIÓN</w:t>
      </w:r>
      <w:r w:rsidR="00261E54" w:rsidRPr="00A35C16">
        <w:rPr>
          <w:rFonts w:ascii="Arial" w:hAnsi="Arial" w:cs="Arial"/>
          <w:b/>
          <w:color w:val="auto"/>
          <w:sz w:val="24"/>
          <w:szCs w:val="24"/>
          <w:lang w:val="es-PR"/>
        </w:rPr>
        <w:t xml:space="preserve"> (ALA)</w:t>
      </w:r>
    </w:p>
    <w:p w:rsidR="005A335E" w:rsidRPr="00A35C16" w:rsidRDefault="005A335E" w:rsidP="00137B04">
      <w:pPr>
        <w:rPr>
          <w:rFonts w:ascii="Arial" w:hAnsi="Arial" w:cs="Arial"/>
          <w:b/>
        </w:rPr>
      </w:pPr>
    </w:p>
    <w:p w:rsidR="005A335E" w:rsidRPr="00A35C16" w:rsidRDefault="00780592" w:rsidP="00137B04">
      <w:pPr>
        <w:jc w:val="both"/>
        <w:rPr>
          <w:rFonts w:ascii="Arial" w:hAnsi="Arial" w:cs="Arial"/>
        </w:rPr>
      </w:pPr>
      <w:r w:rsidRPr="00A35C16">
        <w:rPr>
          <w:rFonts w:ascii="Arial" w:hAnsi="Arial" w:cs="Arial"/>
        </w:rPr>
        <w:t>Es el á</w:t>
      </w:r>
      <w:r w:rsidR="005A335E" w:rsidRPr="00A35C16">
        <w:rPr>
          <w:rFonts w:ascii="Arial" w:hAnsi="Arial" w:cs="Arial"/>
        </w:rPr>
        <w:t>rea especializada en los procesos de otorgar licencias de autorización y de renovación a las instituciones de educación básica (IEB) e instituciones de educación superior (IES), así como la aprobación de programas académicos. También</w:t>
      </w:r>
      <w:r w:rsidR="00933128">
        <w:rPr>
          <w:rFonts w:ascii="Arial" w:hAnsi="Arial" w:cs="Arial"/>
        </w:rPr>
        <w:t>,</w:t>
      </w:r>
      <w:r w:rsidR="005A335E" w:rsidRPr="00A35C16">
        <w:rPr>
          <w:rFonts w:ascii="Arial" w:hAnsi="Arial" w:cs="Arial"/>
        </w:rPr>
        <w:t xml:space="preserve"> atiende las solicitudes de acreditación hechas por las IEB.  Además, es el área responsable de emitir certificaciones de los grados conferidos solicitadas por el público.</w:t>
      </w:r>
      <w:r w:rsidR="00261E54" w:rsidRPr="00A35C16">
        <w:rPr>
          <w:rFonts w:ascii="Arial" w:hAnsi="Arial" w:cs="Arial"/>
        </w:rPr>
        <w:t xml:space="preserve"> Entre los logros de ALA se destacan: </w:t>
      </w:r>
    </w:p>
    <w:p w:rsidR="00780592" w:rsidRPr="00A35C16" w:rsidRDefault="00780592" w:rsidP="00137B04">
      <w:pPr>
        <w:jc w:val="both"/>
        <w:rPr>
          <w:rFonts w:ascii="Arial" w:hAnsi="Arial" w:cs="Arial"/>
        </w:rPr>
      </w:pPr>
    </w:p>
    <w:p w:rsidR="00776F23" w:rsidRPr="00A35C16" w:rsidRDefault="00776F23" w:rsidP="00137B04">
      <w:pPr>
        <w:pStyle w:val="ListParagraph"/>
        <w:numPr>
          <w:ilvl w:val="0"/>
          <w:numId w:val="10"/>
        </w:numPr>
        <w:spacing w:after="0" w:line="240" w:lineRule="auto"/>
        <w:jc w:val="both"/>
        <w:rPr>
          <w:rFonts w:ascii="Arial" w:hAnsi="Arial" w:cs="Arial"/>
          <w:sz w:val="24"/>
          <w:szCs w:val="24"/>
          <w:lang w:val="es-PR"/>
        </w:rPr>
      </w:pPr>
      <w:r w:rsidRPr="00A35C16">
        <w:rPr>
          <w:rFonts w:ascii="Arial" w:hAnsi="Arial" w:cs="Arial"/>
          <w:sz w:val="24"/>
          <w:szCs w:val="24"/>
          <w:lang w:val="es-PR"/>
        </w:rPr>
        <w:t>Actualiza</w:t>
      </w:r>
      <w:r w:rsidR="00780592" w:rsidRPr="00A35C16">
        <w:rPr>
          <w:rFonts w:ascii="Arial" w:hAnsi="Arial" w:cs="Arial"/>
          <w:sz w:val="24"/>
          <w:szCs w:val="24"/>
          <w:lang w:val="es-PR"/>
        </w:rPr>
        <w:t>ción de</w:t>
      </w:r>
      <w:r w:rsidR="005A335E" w:rsidRPr="00A35C16">
        <w:rPr>
          <w:rFonts w:ascii="Arial" w:hAnsi="Arial" w:cs="Arial"/>
          <w:sz w:val="24"/>
          <w:szCs w:val="24"/>
          <w:lang w:val="es-PR"/>
        </w:rPr>
        <w:t xml:space="preserve"> los procesos de licenciamiento y acred</w:t>
      </w:r>
      <w:r w:rsidR="000E78A8" w:rsidRPr="00A35C16">
        <w:rPr>
          <w:rFonts w:ascii="Arial" w:hAnsi="Arial" w:cs="Arial"/>
          <w:sz w:val="24"/>
          <w:szCs w:val="24"/>
          <w:lang w:val="es-PR"/>
        </w:rPr>
        <w:t>itación establecidos por el P</w:t>
      </w:r>
      <w:r w:rsidR="00780592" w:rsidRPr="00A35C16">
        <w:rPr>
          <w:rFonts w:ascii="Arial" w:hAnsi="Arial" w:cs="Arial"/>
          <w:sz w:val="24"/>
          <w:szCs w:val="24"/>
          <w:lang w:val="es-PR"/>
        </w:rPr>
        <w:t>R-1</w:t>
      </w:r>
      <w:r w:rsidR="00F01E6A" w:rsidRPr="00A35C16">
        <w:rPr>
          <w:rFonts w:ascii="Arial" w:hAnsi="Arial" w:cs="Arial"/>
          <w:sz w:val="24"/>
          <w:szCs w:val="24"/>
          <w:lang w:val="es-PR"/>
        </w:rPr>
        <w:t>.</w:t>
      </w:r>
      <w:r w:rsidR="005A335E" w:rsidRPr="00A35C16">
        <w:rPr>
          <w:rFonts w:ascii="Arial" w:hAnsi="Arial" w:cs="Arial"/>
          <w:sz w:val="24"/>
          <w:szCs w:val="24"/>
          <w:lang w:val="es-PR"/>
        </w:rPr>
        <w:t xml:space="preserve"> </w:t>
      </w:r>
    </w:p>
    <w:p w:rsidR="00261E54" w:rsidRPr="00A35C16" w:rsidRDefault="00261E54" w:rsidP="00137B04">
      <w:pPr>
        <w:pStyle w:val="ListParagraph"/>
        <w:numPr>
          <w:ilvl w:val="0"/>
          <w:numId w:val="10"/>
        </w:numPr>
        <w:spacing w:after="0" w:line="240" w:lineRule="auto"/>
        <w:jc w:val="both"/>
        <w:rPr>
          <w:rFonts w:ascii="Arial" w:hAnsi="Arial" w:cs="Arial"/>
          <w:sz w:val="24"/>
          <w:szCs w:val="24"/>
          <w:lang w:val="es-PR"/>
        </w:rPr>
      </w:pPr>
      <w:r w:rsidRPr="00A35C16">
        <w:rPr>
          <w:rFonts w:ascii="Arial" w:hAnsi="Arial" w:cs="Arial"/>
          <w:sz w:val="24"/>
          <w:szCs w:val="24"/>
          <w:lang w:val="es-PR"/>
        </w:rPr>
        <w:t>Desarrollo de  la Plataforma Electrónica para el Licenciamiento de Educación Superior (PLES)- esta plataform</w:t>
      </w:r>
      <w:r w:rsidR="00136CAB" w:rsidRPr="00A35C16">
        <w:rPr>
          <w:rFonts w:ascii="Arial" w:hAnsi="Arial" w:cs="Arial"/>
          <w:sz w:val="24"/>
          <w:szCs w:val="24"/>
          <w:lang w:val="es-PR"/>
        </w:rPr>
        <w:t xml:space="preserve">a tecnológica le permite a las </w:t>
      </w:r>
      <w:r w:rsidRPr="00A35C16">
        <w:rPr>
          <w:rFonts w:ascii="Arial" w:hAnsi="Arial" w:cs="Arial"/>
          <w:sz w:val="24"/>
          <w:szCs w:val="24"/>
          <w:lang w:val="es-PR"/>
        </w:rPr>
        <w:t xml:space="preserve">IES hacer sus solicitudes de licencia en línea y el CEPR puede llevar un control preciso del proceso de licenciamiento.   </w:t>
      </w:r>
    </w:p>
    <w:p w:rsidR="005A335E" w:rsidRPr="00A35C16" w:rsidRDefault="00776F23" w:rsidP="00137B04">
      <w:pPr>
        <w:pStyle w:val="ListParagraph"/>
        <w:numPr>
          <w:ilvl w:val="0"/>
          <w:numId w:val="10"/>
        </w:numPr>
        <w:spacing w:after="0" w:line="240" w:lineRule="auto"/>
        <w:jc w:val="both"/>
        <w:rPr>
          <w:rFonts w:ascii="Arial" w:hAnsi="Arial" w:cs="Arial"/>
          <w:sz w:val="24"/>
          <w:szCs w:val="24"/>
          <w:lang w:val="es-PR"/>
        </w:rPr>
      </w:pPr>
      <w:r w:rsidRPr="00A35C16">
        <w:rPr>
          <w:rFonts w:ascii="Arial" w:hAnsi="Arial" w:cs="Arial"/>
          <w:sz w:val="24"/>
          <w:szCs w:val="24"/>
          <w:lang w:val="es-PR"/>
        </w:rPr>
        <w:t xml:space="preserve">Creación de una </w:t>
      </w:r>
      <w:r w:rsidR="005A335E" w:rsidRPr="00A35C16">
        <w:rPr>
          <w:rFonts w:ascii="Arial" w:hAnsi="Arial" w:cs="Arial"/>
          <w:sz w:val="24"/>
          <w:szCs w:val="24"/>
          <w:lang w:val="es-PR"/>
        </w:rPr>
        <w:t>solicitud estándar para cada solicitud de enmienda a la licencia de las inst</w:t>
      </w:r>
      <w:r w:rsidRPr="00A35C16">
        <w:rPr>
          <w:rFonts w:ascii="Arial" w:hAnsi="Arial" w:cs="Arial"/>
          <w:sz w:val="24"/>
          <w:szCs w:val="24"/>
          <w:lang w:val="es-PR"/>
        </w:rPr>
        <w:t xml:space="preserve">ituciones de educación superior a través de </w:t>
      </w:r>
      <w:r w:rsidR="00261E54" w:rsidRPr="00A35C16">
        <w:rPr>
          <w:rFonts w:ascii="Arial" w:hAnsi="Arial" w:cs="Arial"/>
          <w:sz w:val="24"/>
          <w:szCs w:val="24"/>
          <w:lang w:val="es-PR"/>
        </w:rPr>
        <w:t>PLES</w:t>
      </w:r>
      <w:r w:rsidR="00F01E6A" w:rsidRPr="00A35C16">
        <w:rPr>
          <w:rFonts w:ascii="Arial" w:hAnsi="Arial" w:cs="Arial"/>
          <w:sz w:val="24"/>
          <w:szCs w:val="24"/>
          <w:lang w:val="es-PR"/>
        </w:rPr>
        <w:t>.</w:t>
      </w:r>
      <w:r w:rsidR="00780592" w:rsidRPr="00A35C16">
        <w:rPr>
          <w:rFonts w:ascii="Arial" w:hAnsi="Arial" w:cs="Arial"/>
          <w:sz w:val="24"/>
          <w:szCs w:val="24"/>
          <w:lang w:val="es-PR"/>
        </w:rPr>
        <w:t xml:space="preserve"> </w:t>
      </w:r>
    </w:p>
    <w:p w:rsidR="008B512D" w:rsidRPr="00A35C16" w:rsidRDefault="00776F23" w:rsidP="00137B04">
      <w:pPr>
        <w:pStyle w:val="ListParagraph"/>
        <w:numPr>
          <w:ilvl w:val="0"/>
          <w:numId w:val="10"/>
        </w:numPr>
        <w:spacing w:after="0" w:line="240" w:lineRule="auto"/>
        <w:jc w:val="both"/>
        <w:rPr>
          <w:rFonts w:ascii="Arial" w:hAnsi="Arial" w:cs="Arial"/>
          <w:sz w:val="24"/>
          <w:szCs w:val="24"/>
          <w:lang w:val="es-PR"/>
        </w:rPr>
      </w:pPr>
      <w:r w:rsidRPr="00A35C16">
        <w:rPr>
          <w:rFonts w:ascii="Arial" w:hAnsi="Arial" w:cs="Arial"/>
          <w:sz w:val="24"/>
          <w:szCs w:val="24"/>
          <w:lang w:val="es-PR"/>
        </w:rPr>
        <w:t>Simplificación d</w:t>
      </w:r>
      <w:r w:rsidR="005A335E" w:rsidRPr="00A35C16">
        <w:rPr>
          <w:rFonts w:ascii="Arial" w:hAnsi="Arial" w:cs="Arial"/>
          <w:sz w:val="24"/>
          <w:szCs w:val="24"/>
          <w:lang w:val="es-PR"/>
        </w:rPr>
        <w:t xml:space="preserve">el proceso de </w:t>
      </w:r>
      <w:r w:rsidRPr="00A35C16">
        <w:rPr>
          <w:rFonts w:ascii="Arial" w:hAnsi="Arial" w:cs="Arial"/>
          <w:sz w:val="24"/>
          <w:szCs w:val="24"/>
          <w:lang w:val="es-PR"/>
        </w:rPr>
        <w:t xml:space="preserve">emisión de </w:t>
      </w:r>
      <w:r w:rsidR="005A335E" w:rsidRPr="00A35C16">
        <w:rPr>
          <w:rFonts w:ascii="Arial" w:hAnsi="Arial" w:cs="Arial"/>
          <w:sz w:val="24"/>
          <w:szCs w:val="24"/>
          <w:lang w:val="es-PR"/>
        </w:rPr>
        <w:t>certificaciones</w:t>
      </w:r>
      <w:r w:rsidRPr="00A35C16">
        <w:rPr>
          <w:rFonts w:ascii="Arial" w:hAnsi="Arial" w:cs="Arial"/>
          <w:sz w:val="24"/>
          <w:szCs w:val="24"/>
          <w:lang w:val="es-PR"/>
        </w:rPr>
        <w:t xml:space="preserve"> de </w:t>
      </w:r>
      <w:r w:rsidR="0026082E" w:rsidRPr="00A35C16">
        <w:rPr>
          <w:rFonts w:ascii="Arial" w:hAnsi="Arial" w:cs="Arial"/>
          <w:sz w:val="24"/>
          <w:szCs w:val="24"/>
          <w:lang w:val="es-PR"/>
        </w:rPr>
        <w:t>estudios</w:t>
      </w:r>
      <w:r w:rsidR="005A335E" w:rsidRPr="00A35C16">
        <w:rPr>
          <w:rFonts w:ascii="Arial" w:hAnsi="Arial" w:cs="Arial"/>
          <w:sz w:val="24"/>
          <w:szCs w:val="24"/>
          <w:lang w:val="es-PR"/>
        </w:rPr>
        <w:t xml:space="preserve"> al público. </w:t>
      </w:r>
    </w:p>
    <w:p w:rsidR="00B96FE6" w:rsidRPr="00A35C16" w:rsidRDefault="0026082E" w:rsidP="00137B04">
      <w:pPr>
        <w:pStyle w:val="ListParagraph"/>
        <w:numPr>
          <w:ilvl w:val="0"/>
          <w:numId w:val="10"/>
        </w:numPr>
        <w:spacing w:after="0" w:line="240" w:lineRule="auto"/>
        <w:jc w:val="both"/>
        <w:rPr>
          <w:rFonts w:ascii="Arial" w:hAnsi="Arial" w:cs="Arial"/>
          <w:sz w:val="24"/>
          <w:szCs w:val="24"/>
          <w:lang w:val="es-PR"/>
        </w:rPr>
      </w:pPr>
      <w:r w:rsidRPr="00A35C16">
        <w:rPr>
          <w:rFonts w:ascii="Arial" w:hAnsi="Arial" w:cs="Arial"/>
          <w:sz w:val="24"/>
          <w:szCs w:val="24"/>
          <w:lang w:val="es-PR"/>
        </w:rPr>
        <w:t>Desarrollo de</w:t>
      </w:r>
      <w:r w:rsidR="00B96FE6" w:rsidRPr="00A35C16">
        <w:rPr>
          <w:rFonts w:ascii="Arial" w:hAnsi="Arial" w:cs="Arial"/>
          <w:sz w:val="24"/>
          <w:szCs w:val="24"/>
          <w:lang w:val="es-PR"/>
        </w:rPr>
        <w:t xml:space="preserve"> </w:t>
      </w:r>
      <w:r w:rsidR="00F01E6A" w:rsidRPr="00A35C16">
        <w:rPr>
          <w:rFonts w:ascii="Arial" w:hAnsi="Arial" w:cs="Arial"/>
          <w:sz w:val="24"/>
          <w:szCs w:val="24"/>
          <w:lang w:val="es-PR"/>
        </w:rPr>
        <w:t xml:space="preserve">una </w:t>
      </w:r>
      <w:r w:rsidR="00B96FE6" w:rsidRPr="00A35C16">
        <w:rPr>
          <w:rFonts w:ascii="Arial" w:hAnsi="Arial" w:cs="Arial"/>
          <w:sz w:val="24"/>
          <w:szCs w:val="24"/>
          <w:lang w:val="es-PR"/>
        </w:rPr>
        <w:t xml:space="preserve">base de datos </w:t>
      </w:r>
      <w:r w:rsidRPr="00A35C16">
        <w:rPr>
          <w:rFonts w:ascii="Arial" w:hAnsi="Arial" w:cs="Arial"/>
          <w:sz w:val="24"/>
          <w:szCs w:val="24"/>
          <w:lang w:val="es-PR"/>
        </w:rPr>
        <w:t xml:space="preserve">para conocer el estatus </w:t>
      </w:r>
      <w:r w:rsidR="00B96FE6" w:rsidRPr="00A35C16">
        <w:rPr>
          <w:rFonts w:ascii="Arial" w:hAnsi="Arial" w:cs="Arial"/>
          <w:sz w:val="24"/>
          <w:szCs w:val="24"/>
          <w:lang w:val="es-PR"/>
        </w:rPr>
        <w:t xml:space="preserve">de las solicitudes radicadas por las </w:t>
      </w:r>
      <w:r w:rsidRPr="00A35C16">
        <w:rPr>
          <w:rFonts w:ascii="Arial" w:hAnsi="Arial" w:cs="Arial"/>
          <w:sz w:val="24"/>
          <w:szCs w:val="24"/>
          <w:lang w:val="es-PR"/>
        </w:rPr>
        <w:t xml:space="preserve">Instituciones. </w:t>
      </w:r>
    </w:p>
    <w:p w:rsidR="00F01E6A" w:rsidRPr="00A35C16" w:rsidRDefault="00F01E6A" w:rsidP="00137B04">
      <w:pPr>
        <w:pStyle w:val="ListParagraph"/>
        <w:numPr>
          <w:ilvl w:val="0"/>
          <w:numId w:val="10"/>
        </w:numPr>
        <w:spacing w:after="0" w:line="240" w:lineRule="auto"/>
        <w:jc w:val="both"/>
        <w:rPr>
          <w:rFonts w:ascii="Arial" w:hAnsi="Arial" w:cs="Arial"/>
          <w:b/>
          <w:sz w:val="24"/>
          <w:szCs w:val="24"/>
          <w:lang w:val="es-PR"/>
        </w:rPr>
      </w:pPr>
      <w:r w:rsidRPr="00A35C16">
        <w:rPr>
          <w:rFonts w:ascii="Arial" w:hAnsi="Arial" w:cs="Arial"/>
          <w:sz w:val="24"/>
          <w:szCs w:val="24"/>
          <w:lang w:val="es-PR"/>
        </w:rPr>
        <w:t xml:space="preserve">Creación del </w:t>
      </w:r>
      <w:r w:rsidR="00B96FE6" w:rsidRPr="00A35C16">
        <w:rPr>
          <w:rFonts w:ascii="Arial" w:hAnsi="Arial" w:cs="Arial"/>
          <w:sz w:val="24"/>
          <w:szCs w:val="24"/>
          <w:lang w:val="es-PR"/>
        </w:rPr>
        <w:t>Registro de Instituciones Exentas</w:t>
      </w:r>
      <w:r w:rsidR="0026082E" w:rsidRPr="00A35C16">
        <w:rPr>
          <w:rFonts w:ascii="Arial" w:hAnsi="Arial" w:cs="Arial"/>
          <w:sz w:val="24"/>
          <w:szCs w:val="24"/>
          <w:lang w:val="es-PR"/>
        </w:rPr>
        <w:t xml:space="preserve"> que ofrecen programas a distancia y no tienen operación física en Puerto Rico</w:t>
      </w:r>
      <w:r w:rsidR="00A92405" w:rsidRPr="00A35C16">
        <w:rPr>
          <w:rFonts w:ascii="Arial" w:hAnsi="Arial" w:cs="Arial"/>
          <w:sz w:val="24"/>
          <w:szCs w:val="24"/>
          <w:lang w:val="es-PR"/>
        </w:rPr>
        <w:t>.</w:t>
      </w:r>
    </w:p>
    <w:p w:rsidR="00B96FE6" w:rsidRPr="00A35C16" w:rsidRDefault="00B96FE6" w:rsidP="00137B04">
      <w:pPr>
        <w:pStyle w:val="ListParagraph"/>
        <w:numPr>
          <w:ilvl w:val="0"/>
          <w:numId w:val="10"/>
        </w:numPr>
        <w:spacing w:after="0" w:line="240" w:lineRule="auto"/>
        <w:jc w:val="both"/>
        <w:rPr>
          <w:rFonts w:ascii="Arial" w:hAnsi="Arial" w:cs="Arial"/>
          <w:b/>
          <w:sz w:val="24"/>
          <w:szCs w:val="24"/>
          <w:lang w:val="es-PR"/>
        </w:rPr>
      </w:pPr>
      <w:r w:rsidRPr="00A35C16">
        <w:rPr>
          <w:rFonts w:ascii="Arial" w:hAnsi="Arial" w:cs="Arial"/>
          <w:sz w:val="24"/>
          <w:szCs w:val="24"/>
          <w:lang w:val="es-PR"/>
        </w:rPr>
        <w:t xml:space="preserve">Fomento de la Acreditación </w:t>
      </w:r>
      <w:r w:rsidR="00F01E6A" w:rsidRPr="00A35C16">
        <w:rPr>
          <w:rFonts w:ascii="Arial" w:hAnsi="Arial" w:cs="Arial"/>
          <w:sz w:val="24"/>
          <w:szCs w:val="24"/>
          <w:lang w:val="es-PR"/>
        </w:rPr>
        <w:t xml:space="preserve">para </w:t>
      </w:r>
      <w:r w:rsidR="0026082E" w:rsidRPr="00A35C16">
        <w:rPr>
          <w:rFonts w:ascii="Arial" w:hAnsi="Arial" w:cs="Arial"/>
          <w:sz w:val="24"/>
          <w:szCs w:val="24"/>
          <w:lang w:val="es-PR"/>
        </w:rPr>
        <w:t xml:space="preserve">orientar a las instituciones sobre la importancia de obtener acreditación ya que </w:t>
      </w:r>
      <w:r w:rsidR="00F01E6A" w:rsidRPr="00A35C16">
        <w:rPr>
          <w:rFonts w:ascii="Arial" w:hAnsi="Arial" w:cs="Arial"/>
          <w:sz w:val="24"/>
          <w:szCs w:val="24"/>
          <w:lang w:val="es-PR"/>
        </w:rPr>
        <w:t xml:space="preserve">ésta </w:t>
      </w:r>
      <w:r w:rsidR="0026082E" w:rsidRPr="00A35C16">
        <w:rPr>
          <w:rFonts w:ascii="Arial" w:hAnsi="Arial" w:cs="Arial"/>
          <w:sz w:val="24"/>
          <w:szCs w:val="24"/>
          <w:lang w:val="es-PR"/>
        </w:rPr>
        <w:t>representa un estándar de calidad para la institución y sus programas académicos</w:t>
      </w:r>
      <w:r w:rsidR="00F01E6A" w:rsidRPr="00A35C16">
        <w:rPr>
          <w:rFonts w:ascii="Arial" w:hAnsi="Arial" w:cs="Arial"/>
          <w:sz w:val="24"/>
          <w:szCs w:val="24"/>
          <w:lang w:val="es-PR"/>
        </w:rPr>
        <w:t>.</w:t>
      </w:r>
      <w:r w:rsidR="0026082E" w:rsidRPr="00A35C16">
        <w:rPr>
          <w:rFonts w:ascii="Arial" w:hAnsi="Arial" w:cs="Arial"/>
          <w:b/>
          <w:i/>
          <w:sz w:val="24"/>
          <w:szCs w:val="24"/>
          <w:lang w:val="es-PR"/>
        </w:rPr>
        <w:t xml:space="preserve"> </w:t>
      </w:r>
    </w:p>
    <w:p w:rsidR="00137B04" w:rsidRDefault="00137B04" w:rsidP="00137B04">
      <w:pPr>
        <w:pStyle w:val="Heading1"/>
        <w:spacing w:before="0"/>
        <w:jc w:val="both"/>
        <w:rPr>
          <w:rFonts w:ascii="Arial" w:hAnsi="Arial" w:cs="Arial"/>
          <w:b/>
          <w:color w:val="auto"/>
          <w:sz w:val="24"/>
          <w:szCs w:val="24"/>
          <w:lang w:val="es-PR"/>
        </w:rPr>
      </w:pPr>
    </w:p>
    <w:p w:rsidR="005A335E" w:rsidRPr="00A35C16" w:rsidRDefault="005A335E" w:rsidP="00137B04">
      <w:pPr>
        <w:pStyle w:val="Heading1"/>
        <w:spacing w:before="0"/>
        <w:jc w:val="both"/>
        <w:rPr>
          <w:rFonts w:ascii="Arial" w:hAnsi="Arial" w:cs="Arial"/>
          <w:b/>
          <w:color w:val="auto"/>
          <w:sz w:val="24"/>
          <w:szCs w:val="24"/>
          <w:lang w:val="es-PR"/>
        </w:rPr>
      </w:pPr>
      <w:r w:rsidRPr="00A35C16">
        <w:rPr>
          <w:rFonts w:ascii="Arial" w:hAnsi="Arial" w:cs="Arial"/>
          <w:b/>
          <w:color w:val="auto"/>
          <w:sz w:val="24"/>
          <w:szCs w:val="24"/>
          <w:lang w:val="es-PR"/>
        </w:rPr>
        <w:t>ÁREA DE PROGRAMAS DE APOYO A LA EDUCACIÓN</w:t>
      </w:r>
      <w:r w:rsidR="005419A2" w:rsidRPr="00A35C16">
        <w:rPr>
          <w:rFonts w:ascii="Arial" w:hAnsi="Arial" w:cs="Arial"/>
          <w:b/>
          <w:color w:val="auto"/>
          <w:sz w:val="24"/>
          <w:szCs w:val="24"/>
          <w:lang w:val="es-PR"/>
        </w:rPr>
        <w:t xml:space="preserve"> (APAE)</w:t>
      </w:r>
    </w:p>
    <w:p w:rsidR="005A335E" w:rsidRPr="00A35C16" w:rsidRDefault="005A335E" w:rsidP="00137B04">
      <w:pPr>
        <w:jc w:val="both"/>
        <w:rPr>
          <w:rFonts w:ascii="Arial" w:hAnsi="Arial" w:cs="Arial"/>
        </w:rPr>
      </w:pPr>
    </w:p>
    <w:p w:rsidR="008B5AD9" w:rsidRPr="00A35C16" w:rsidRDefault="00F01E6A" w:rsidP="00137B04">
      <w:pPr>
        <w:jc w:val="both"/>
        <w:rPr>
          <w:rFonts w:ascii="Arial" w:hAnsi="Arial" w:cs="Arial"/>
        </w:rPr>
      </w:pPr>
      <w:r w:rsidRPr="00A35C16">
        <w:rPr>
          <w:rFonts w:ascii="Arial" w:hAnsi="Arial" w:cs="Arial"/>
        </w:rPr>
        <w:t>Esta á</w:t>
      </w:r>
      <w:r w:rsidR="005A335E" w:rsidRPr="00A35C16">
        <w:rPr>
          <w:rFonts w:ascii="Arial" w:hAnsi="Arial" w:cs="Arial"/>
        </w:rPr>
        <w:t xml:space="preserve">rea administra </w:t>
      </w:r>
      <w:r w:rsidR="0070482B" w:rsidRPr="00A35C16">
        <w:rPr>
          <w:rFonts w:ascii="Arial" w:hAnsi="Arial" w:cs="Arial"/>
        </w:rPr>
        <w:t xml:space="preserve">los programas de asistencia económica para que los estudiantes </w:t>
      </w:r>
      <w:r w:rsidRPr="00A35C16">
        <w:rPr>
          <w:rFonts w:ascii="Arial" w:hAnsi="Arial" w:cs="Arial"/>
        </w:rPr>
        <w:t>de escasos recursos económicos tengan la oportunidad de acceder</w:t>
      </w:r>
      <w:r w:rsidR="004F54E8" w:rsidRPr="00A35C16">
        <w:rPr>
          <w:rFonts w:ascii="Arial" w:hAnsi="Arial" w:cs="Arial"/>
        </w:rPr>
        <w:t xml:space="preserve"> y </w:t>
      </w:r>
      <w:r w:rsidRPr="00A35C16">
        <w:rPr>
          <w:rFonts w:ascii="Arial" w:hAnsi="Arial" w:cs="Arial"/>
        </w:rPr>
        <w:t xml:space="preserve">completar </w:t>
      </w:r>
      <w:r w:rsidR="004F54E8" w:rsidRPr="00A35C16">
        <w:rPr>
          <w:rFonts w:ascii="Arial" w:hAnsi="Arial" w:cs="Arial"/>
        </w:rPr>
        <w:t>una</w:t>
      </w:r>
      <w:r w:rsidRPr="00A35C16">
        <w:rPr>
          <w:rFonts w:ascii="Arial" w:hAnsi="Arial" w:cs="Arial"/>
        </w:rPr>
        <w:t xml:space="preserve"> educación postsecundaria. Además es responsable de custodiar y atender los </w:t>
      </w:r>
      <w:r w:rsidR="00CF1AF2" w:rsidRPr="00A35C16">
        <w:rPr>
          <w:rFonts w:ascii="Arial" w:hAnsi="Arial" w:cs="Arial"/>
        </w:rPr>
        <w:t xml:space="preserve">fondos estatales, federales y de otras fuentes </w:t>
      </w:r>
      <w:r w:rsidR="008B5AD9" w:rsidRPr="00A35C16">
        <w:rPr>
          <w:rFonts w:ascii="Arial" w:hAnsi="Arial" w:cs="Arial"/>
        </w:rPr>
        <w:t>para cumplir dichos propósitos.</w:t>
      </w:r>
    </w:p>
    <w:p w:rsidR="00136CAB" w:rsidRPr="00A35C16" w:rsidRDefault="00136CAB" w:rsidP="00137B04">
      <w:pPr>
        <w:jc w:val="both"/>
        <w:rPr>
          <w:rFonts w:ascii="Arial" w:hAnsi="Arial" w:cs="Arial"/>
        </w:rPr>
      </w:pPr>
    </w:p>
    <w:p w:rsidR="00776F23" w:rsidRPr="00A35C16" w:rsidRDefault="004F54E8" w:rsidP="00137B04">
      <w:pPr>
        <w:jc w:val="both"/>
        <w:rPr>
          <w:rFonts w:ascii="Arial" w:hAnsi="Arial" w:cs="Arial"/>
        </w:rPr>
      </w:pPr>
      <w:r w:rsidRPr="00A35C16">
        <w:rPr>
          <w:rFonts w:ascii="Arial" w:hAnsi="Arial" w:cs="Arial"/>
        </w:rPr>
        <w:t>La siguiente tabla resume</w:t>
      </w:r>
      <w:r w:rsidR="00136CAB" w:rsidRPr="00A35C16">
        <w:rPr>
          <w:rFonts w:ascii="Arial" w:hAnsi="Arial" w:cs="Arial"/>
        </w:rPr>
        <w:t xml:space="preserve"> </w:t>
      </w:r>
      <w:r w:rsidR="00776F23" w:rsidRPr="00A35C16">
        <w:rPr>
          <w:rFonts w:ascii="Arial" w:hAnsi="Arial" w:cs="Arial"/>
        </w:rPr>
        <w:t xml:space="preserve">los </w:t>
      </w:r>
      <w:r w:rsidR="00CF1AF2" w:rsidRPr="00A35C16">
        <w:rPr>
          <w:rFonts w:ascii="Arial" w:hAnsi="Arial" w:cs="Arial"/>
        </w:rPr>
        <w:t xml:space="preserve">fondos administrados en los </w:t>
      </w:r>
      <w:r w:rsidR="00776F23" w:rsidRPr="00A35C16">
        <w:rPr>
          <w:rFonts w:ascii="Arial" w:hAnsi="Arial" w:cs="Arial"/>
        </w:rPr>
        <w:t>últimos cinco años fiscales:</w:t>
      </w:r>
    </w:p>
    <w:p w:rsidR="00776F23" w:rsidRPr="00A35C16" w:rsidRDefault="00776F23" w:rsidP="00137B04">
      <w:pPr>
        <w:jc w:val="both"/>
        <w:rPr>
          <w:rFonts w:ascii="Arial" w:hAnsi="Arial" w:cs="Arial"/>
        </w:rPr>
      </w:pPr>
    </w:p>
    <w:tbl>
      <w:tblPr>
        <w:tblW w:w="10053" w:type="dxa"/>
        <w:jc w:val="center"/>
        <w:tblLayout w:type="fixed"/>
        <w:tblLook w:val="04A0" w:firstRow="1" w:lastRow="0" w:firstColumn="1" w:lastColumn="0" w:noHBand="0" w:noVBand="1"/>
      </w:tblPr>
      <w:tblGrid>
        <w:gridCol w:w="1710"/>
        <w:gridCol w:w="2586"/>
        <w:gridCol w:w="1823"/>
        <w:gridCol w:w="2233"/>
        <w:gridCol w:w="1701"/>
      </w:tblGrid>
      <w:tr w:rsidR="00776F23" w:rsidRPr="00A35C16" w:rsidTr="002E6E55">
        <w:trPr>
          <w:trHeight w:val="572"/>
          <w:jc w:val="center"/>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AÑO FISCAL</w:t>
            </w:r>
          </w:p>
        </w:tc>
        <w:tc>
          <w:tcPr>
            <w:tcW w:w="2586"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FONDOS PRESUPUESTADOS</w:t>
            </w:r>
          </w:p>
        </w:tc>
        <w:tc>
          <w:tcPr>
            <w:tcW w:w="1823"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FONDOS UTILIZADOS</w:t>
            </w:r>
          </w:p>
        </w:tc>
        <w:tc>
          <w:tcPr>
            <w:tcW w:w="2233"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 xml:space="preserve">ESTUDIANTES BENEFICIADOS </w:t>
            </w:r>
          </w:p>
        </w:tc>
        <w:tc>
          <w:tcPr>
            <w:tcW w:w="1701"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PROMEDIO AYUDA</w:t>
            </w:r>
          </w:p>
        </w:tc>
      </w:tr>
      <w:tr w:rsidR="00776F23" w:rsidRPr="00A35C16" w:rsidTr="002E6E55">
        <w:trPr>
          <w:trHeight w:val="33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2014-2015</w:t>
            </w:r>
          </w:p>
        </w:tc>
        <w:tc>
          <w:tcPr>
            <w:tcW w:w="2586" w:type="dxa"/>
            <w:tcBorders>
              <w:top w:val="nil"/>
              <w:left w:val="nil"/>
              <w:bottom w:val="single" w:sz="4" w:space="0" w:color="auto"/>
              <w:right w:val="single" w:sz="4" w:space="0" w:color="auto"/>
            </w:tcBorders>
            <w:shd w:val="clear" w:color="auto" w:fill="auto"/>
            <w:noWrap/>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$23,034,391</w:t>
            </w:r>
          </w:p>
        </w:tc>
        <w:tc>
          <w:tcPr>
            <w:tcW w:w="1823" w:type="dxa"/>
            <w:tcBorders>
              <w:top w:val="nil"/>
              <w:left w:val="nil"/>
              <w:bottom w:val="single" w:sz="4" w:space="0" w:color="auto"/>
              <w:right w:val="single" w:sz="4" w:space="0" w:color="auto"/>
            </w:tcBorders>
            <w:shd w:val="clear" w:color="auto" w:fill="auto"/>
            <w:noWrap/>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$22,707,370</w:t>
            </w:r>
          </w:p>
        </w:tc>
        <w:tc>
          <w:tcPr>
            <w:tcW w:w="2233" w:type="dxa"/>
            <w:tcBorders>
              <w:top w:val="nil"/>
              <w:left w:val="nil"/>
              <w:bottom w:val="single" w:sz="4" w:space="0" w:color="auto"/>
              <w:right w:val="single" w:sz="4" w:space="0" w:color="auto"/>
            </w:tcBorders>
            <w:shd w:val="clear" w:color="auto" w:fill="auto"/>
            <w:noWrap/>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64,762</w:t>
            </w:r>
          </w:p>
        </w:tc>
        <w:tc>
          <w:tcPr>
            <w:tcW w:w="1701" w:type="dxa"/>
            <w:tcBorders>
              <w:top w:val="nil"/>
              <w:left w:val="nil"/>
              <w:bottom w:val="single" w:sz="4" w:space="0" w:color="auto"/>
              <w:right w:val="single" w:sz="4" w:space="0" w:color="auto"/>
            </w:tcBorders>
            <w:shd w:val="clear" w:color="auto" w:fill="auto"/>
            <w:noWrap/>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$351</w:t>
            </w:r>
          </w:p>
        </w:tc>
      </w:tr>
      <w:tr w:rsidR="00776F23" w:rsidRPr="00A35C16" w:rsidTr="002E6E55">
        <w:trPr>
          <w:trHeight w:val="33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2015-2016</w:t>
            </w:r>
          </w:p>
        </w:tc>
        <w:tc>
          <w:tcPr>
            <w:tcW w:w="2586" w:type="dxa"/>
            <w:tcBorders>
              <w:top w:val="nil"/>
              <w:left w:val="nil"/>
              <w:bottom w:val="single" w:sz="4" w:space="0" w:color="auto"/>
              <w:right w:val="single" w:sz="4" w:space="0" w:color="auto"/>
            </w:tcBorders>
            <w:shd w:val="clear" w:color="auto" w:fill="auto"/>
            <w:noWrap/>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$8,965,419</w:t>
            </w:r>
          </w:p>
        </w:tc>
        <w:tc>
          <w:tcPr>
            <w:tcW w:w="1823" w:type="dxa"/>
            <w:tcBorders>
              <w:top w:val="nil"/>
              <w:left w:val="nil"/>
              <w:bottom w:val="single" w:sz="4" w:space="0" w:color="auto"/>
              <w:right w:val="single" w:sz="4" w:space="0" w:color="auto"/>
            </w:tcBorders>
            <w:shd w:val="clear" w:color="auto" w:fill="auto"/>
            <w:noWrap/>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$8,669,690</w:t>
            </w:r>
          </w:p>
        </w:tc>
        <w:tc>
          <w:tcPr>
            <w:tcW w:w="2233" w:type="dxa"/>
            <w:tcBorders>
              <w:top w:val="nil"/>
              <w:left w:val="nil"/>
              <w:bottom w:val="single" w:sz="4" w:space="0" w:color="auto"/>
              <w:right w:val="single" w:sz="4" w:space="0" w:color="auto"/>
            </w:tcBorders>
            <w:shd w:val="clear" w:color="auto" w:fill="auto"/>
            <w:noWrap/>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30,901</w:t>
            </w:r>
          </w:p>
        </w:tc>
        <w:tc>
          <w:tcPr>
            <w:tcW w:w="1701" w:type="dxa"/>
            <w:tcBorders>
              <w:top w:val="nil"/>
              <w:left w:val="nil"/>
              <w:bottom w:val="single" w:sz="4" w:space="0" w:color="auto"/>
              <w:right w:val="single" w:sz="4" w:space="0" w:color="auto"/>
            </w:tcBorders>
            <w:shd w:val="clear" w:color="auto" w:fill="auto"/>
            <w:noWrap/>
            <w:vAlign w:val="bottom"/>
            <w:hideMark/>
          </w:tcPr>
          <w:p w:rsidR="00776F23" w:rsidRPr="00A35C16" w:rsidRDefault="00776F23" w:rsidP="00137B04">
            <w:pPr>
              <w:jc w:val="center"/>
              <w:rPr>
                <w:rFonts w:ascii="Arial" w:hAnsi="Arial" w:cs="Arial"/>
                <w:color w:val="000000"/>
                <w:lang w:val="en-US"/>
              </w:rPr>
            </w:pPr>
            <w:r w:rsidRPr="00A35C16">
              <w:rPr>
                <w:rFonts w:ascii="Arial" w:hAnsi="Arial" w:cs="Arial"/>
                <w:color w:val="000000"/>
                <w:lang w:val="en-US"/>
              </w:rPr>
              <w:t>$281</w:t>
            </w:r>
          </w:p>
        </w:tc>
      </w:tr>
    </w:tbl>
    <w:p w:rsidR="00A92405" w:rsidRPr="00A35C16" w:rsidRDefault="00A92405" w:rsidP="00137B04">
      <w:pPr>
        <w:pStyle w:val="BodyText"/>
        <w:spacing w:line="240" w:lineRule="auto"/>
        <w:rPr>
          <w:rFonts w:ascii="Arial" w:hAnsi="Arial" w:cs="Arial"/>
          <w:lang w:val="es-PR"/>
        </w:rPr>
      </w:pPr>
    </w:p>
    <w:p w:rsidR="00B162EF" w:rsidRDefault="00776F23" w:rsidP="00137B04">
      <w:pPr>
        <w:pStyle w:val="ListParagraph"/>
        <w:spacing w:after="0" w:line="240" w:lineRule="auto"/>
        <w:ind w:left="0"/>
        <w:jc w:val="both"/>
        <w:rPr>
          <w:rFonts w:ascii="Arial" w:hAnsi="Arial" w:cs="Arial"/>
          <w:sz w:val="24"/>
          <w:szCs w:val="24"/>
          <w:lang w:val="es-PR"/>
        </w:rPr>
      </w:pPr>
      <w:r w:rsidRPr="00A35C16">
        <w:rPr>
          <w:rFonts w:ascii="Arial" w:hAnsi="Arial" w:cs="Arial"/>
          <w:sz w:val="24"/>
          <w:szCs w:val="24"/>
          <w:lang w:val="es-PR"/>
        </w:rPr>
        <w:t xml:space="preserve">El perfil del estudiante beneficiado de los programas de asistencia económica </w:t>
      </w:r>
      <w:r w:rsidR="00CF1AF2" w:rsidRPr="00A35C16">
        <w:rPr>
          <w:rFonts w:ascii="Arial" w:hAnsi="Arial" w:cs="Arial"/>
          <w:sz w:val="24"/>
          <w:szCs w:val="24"/>
          <w:lang w:val="es-PR"/>
        </w:rPr>
        <w:t>para el año académico</w:t>
      </w:r>
      <w:r w:rsidR="008F7C4D" w:rsidRPr="00A35C16">
        <w:rPr>
          <w:rFonts w:ascii="Arial" w:hAnsi="Arial" w:cs="Arial"/>
          <w:sz w:val="24"/>
          <w:szCs w:val="24"/>
          <w:lang w:val="es-PR"/>
        </w:rPr>
        <w:t xml:space="preserve"> </w:t>
      </w:r>
      <w:r w:rsidR="000B7BDE" w:rsidRPr="00A35C16">
        <w:rPr>
          <w:rFonts w:ascii="Arial" w:hAnsi="Arial" w:cs="Arial"/>
          <w:sz w:val="24"/>
          <w:szCs w:val="24"/>
          <w:lang w:val="es-PR"/>
        </w:rPr>
        <w:t>2015-16</w:t>
      </w:r>
      <w:r w:rsidR="00CF1AF2" w:rsidRPr="00A35C16">
        <w:rPr>
          <w:rFonts w:ascii="Arial" w:hAnsi="Arial" w:cs="Arial"/>
          <w:sz w:val="24"/>
          <w:szCs w:val="24"/>
          <w:lang w:val="es-PR"/>
        </w:rPr>
        <w:t xml:space="preserve"> </w:t>
      </w:r>
      <w:r w:rsidR="008F7C4D" w:rsidRPr="00A35C16">
        <w:rPr>
          <w:rFonts w:ascii="Arial" w:hAnsi="Arial" w:cs="Arial"/>
          <w:sz w:val="24"/>
          <w:szCs w:val="24"/>
          <w:lang w:val="es-PR"/>
        </w:rPr>
        <w:t>está</w:t>
      </w:r>
      <w:r w:rsidR="000B7BDE" w:rsidRPr="00A35C16">
        <w:rPr>
          <w:rFonts w:ascii="Arial" w:hAnsi="Arial" w:cs="Arial"/>
          <w:sz w:val="24"/>
          <w:szCs w:val="24"/>
          <w:lang w:val="es-PR"/>
        </w:rPr>
        <w:t xml:space="preserve"> compuesto por</w:t>
      </w:r>
      <w:r w:rsidR="005419A2" w:rsidRPr="00A35C16">
        <w:rPr>
          <w:rFonts w:ascii="Arial" w:hAnsi="Arial" w:cs="Arial"/>
          <w:sz w:val="24"/>
          <w:szCs w:val="24"/>
          <w:lang w:val="es-PR"/>
        </w:rPr>
        <w:t xml:space="preserve"> </w:t>
      </w:r>
      <w:r w:rsidR="00CF1AF2" w:rsidRPr="00A35C16">
        <w:rPr>
          <w:rFonts w:ascii="Arial" w:hAnsi="Arial" w:cs="Arial"/>
          <w:sz w:val="24"/>
          <w:szCs w:val="24"/>
          <w:lang w:val="es-PR"/>
        </w:rPr>
        <w:t>un 61% de estudiantes</w:t>
      </w:r>
      <w:r w:rsidR="00D871B4" w:rsidRPr="00A35C16">
        <w:rPr>
          <w:rFonts w:ascii="Arial" w:hAnsi="Arial" w:cs="Arial"/>
          <w:sz w:val="24"/>
          <w:szCs w:val="24"/>
          <w:lang w:val="es-PR"/>
        </w:rPr>
        <w:t xml:space="preserve"> féminas,</w:t>
      </w:r>
      <w:r w:rsidR="000B7BDE" w:rsidRPr="00A35C16">
        <w:rPr>
          <w:rFonts w:ascii="Arial" w:hAnsi="Arial" w:cs="Arial"/>
          <w:sz w:val="24"/>
          <w:szCs w:val="24"/>
          <w:lang w:val="es-PR"/>
        </w:rPr>
        <w:t xml:space="preserve"> </w:t>
      </w:r>
      <w:r w:rsidR="005419A2" w:rsidRPr="00A35C16">
        <w:rPr>
          <w:rFonts w:ascii="Arial" w:hAnsi="Arial" w:cs="Arial"/>
          <w:sz w:val="24"/>
          <w:szCs w:val="24"/>
          <w:lang w:val="es-PR"/>
        </w:rPr>
        <w:t>con</w:t>
      </w:r>
      <w:r w:rsidR="00D871B4" w:rsidRPr="00A35C16">
        <w:rPr>
          <w:rFonts w:ascii="Arial" w:hAnsi="Arial" w:cs="Arial"/>
          <w:sz w:val="24"/>
          <w:szCs w:val="24"/>
          <w:lang w:val="es-PR"/>
        </w:rPr>
        <w:t xml:space="preserve"> un 87% </w:t>
      </w:r>
      <w:r w:rsidR="000B7BDE" w:rsidRPr="00A35C16">
        <w:rPr>
          <w:rFonts w:ascii="Arial" w:hAnsi="Arial" w:cs="Arial"/>
          <w:sz w:val="24"/>
          <w:szCs w:val="24"/>
          <w:lang w:val="es-PR"/>
        </w:rPr>
        <w:t xml:space="preserve">de carga académica completa, </w:t>
      </w:r>
      <w:r w:rsidR="00D871B4" w:rsidRPr="00A35C16">
        <w:rPr>
          <w:rFonts w:ascii="Arial" w:hAnsi="Arial" w:cs="Arial"/>
          <w:sz w:val="24"/>
          <w:szCs w:val="24"/>
          <w:lang w:val="es-PR"/>
        </w:rPr>
        <w:t>un</w:t>
      </w:r>
      <w:r w:rsidR="003E21D9" w:rsidRPr="00A35C16">
        <w:rPr>
          <w:rFonts w:ascii="Arial" w:hAnsi="Arial" w:cs="Arial"/>
          <w:sz w:val="24"/>
          <w:szCs w:val="24"/>
          <w:lang w:val="es-PR"/>
        </w:rPr>
        <w:t xml:space="preserve"> 74%</w:t>
      </w:r>
      <w:r w:rsidR="00D871B4" w:rsidRPr="00A35C16">
        <w:rPr>
          <w:rFonts w:ascii="Arial" w:hAnsi="Arial" w:cs="Arial"/>
          <w:sz w:val="24"/>
          <w:szCs w:val="24"/>
          <w:lang w:val="es-PR"/>
        </w:rPr>
        <w:t xml:space="preserve"> </w:t>
      </w:r>
      <w:r w:rsidR="003E21D9" w:rsidRPr="00A35C16">
        <w:rPr>
          <w:rFonts w:ascii="Arial" w:hAnsi="Arial" w:cs="Arial"/>
          <w:sz w:val="24"/>
          <w:szCs w:val="24"/>
          <w:lang w:val="es-PR"/>
        </w:rPr>
        <w:t xml:space="preserve">proveniente de familia con ingreso anual de $19,999 o menos, un 37% matriculado/a en programas de bachillerato y un 55% </w:t>
      </w:r>
      <w:r w:rsidR="005419A2" w:rsidRPr="00A35C16">
        <w:rPr>
          <w:rFonts w:ascii="Arial" w:hAnsi="Arial" w:cs="Arial"/>
          <w:sz w:val="24"/>
          <w:szCs w:val="24"/>
          <w:lang w:val="es-PR"/>
        </w:rPr>
        <w:t>d</w:t>
      </w:r>
      <w:r w:rsidR="003E21D9" w:rsidRPr="00A35C16">
        <w:rPr>
          <w:rFonts w:ascii="Arial" w:hAnsi="Arial" w:cs="Arial"/>
          <w:sz w:val="24"/>
          <w:szCs w:val="24"/>
          <w:lang w:val="es-PR"/>
        </w:rPr>
        <w:t>ependiente de sus padres o tutores</w:t>
      </w:r>
      <w:r w:rsidR="005419A2" w:rsidRPr="00A35C16">
        <w:rPr>
          <w:rFonts w:ascii="Arial" w:hAnsi="Arial" w:cs="Arial"/>
          <w:sz w:val="24"/>
          <w:szCs w:val="24"/>
          <w:lang w:val="es-PR"/>
        </w:rPr>
        <w:t xml:space="preserve">. El presupuesto asignado para financiar los programas de asistencia económica </w:t>
      </w:r>
      <w:r w:rsidR="00E62A22">
        <w:rPr>
          <w:rFonts w:ascii="Arial" w:hAnsi="Arial" w:cs="Arial"/>
          <w:sz w:val="24"/>
          <w:szCs w:val="24"/>
          <w:lang w:val="es-PR"/>
        </w:rPr>
        <w:t>para</w:t>
      </w:r>
      <w:r w:rsidR="005419A2" w:rsidRPr="00A35C16">
        <w:rPr>
          <w:rFonts w:ascii="Arial" w:hAnsi="Arial" w:cs="Arial"/>
          <w:sz w:val="24"/>
          <w:szCs w:val="24"/>
          <w:lang w:val="es-PR"/>
        </w:rPr>
        <w:t xml:space="preserve"> el año fiscal 2016-2017 </w:t>
      </w:r>
      <w:r w:rsidR="00E62A22">
        <w:rPr>
          <w:rFonts w:ascii="Arial" w:hAnsi="Arial" w:cs="Arial"/>
          <w:sz w:val="24"/>
          <w:szCs w:val="24"/>
          <w:lang w:val="es-PR"/>
        </w:rPr>
        <w:t xml:space="preserve">se redujo </w:t>
      </w:r>
      <w:r w:rsidR="005419A2" w:rsidRPr="00E62A22">
        <w:rPr>
          <w:rFonts w:ascii="Arial" w:hAnsi="Arial" w:cs="Arial"/>
          <w:sz w:val="24"/>
          <w:szCs w:val="24"/>
          <w:lang w:val="es-PR"/>
        </w:rPr>
        <w:t>a siete millones de dólares ($7,000,000),</w:t>
      </w:r>
      <w:r w:rsidR="005419A2" w:rsidRPr="00A35C16">
        <w:rPr>
          <w:rFonts w:ascii="Arial" w:hAnsi="Arial" w:cs="Arial"/>
          <w:sz w:val="24"/>
          <w:szCs w:val="24"/>
          <w:lang w:val="es-PR"/>
        </w:rPr>
        <w:t xml:space="preserve"> lo que representa una reducción de 72% con respecto al nivel de fondos estipulado por la Ley Núm. 435 del 22 de septiembre del 2004 para </w:t>
      </w:r>
      <w:r w:rsidR="005419A2" w:rsidRPr="00A35C16">
        <w:rPr>
          <w:rFonts w:ascii="Arial" w:hAnsi="Arial" w:cs="Arial"/>
          <w:sz w:val="24"/>
          <w:szCs w:val="24"/>
          <w:lang w:val="es-PR"/>
        </w:rPr>
        <w:lastRenderedPageBreak/>
        <w:t>ese propósito. Con esta asignación s</w:t>
      </w:r>
      <w:r w:rsidR="000B7BDE" w:rsidRPr="00A35C16">
        <w:rPr>
          <w:rFonts w:ascii="Arial" w:hAnsi="Arial" w:cs="Arial"/>
          <w:sz w:val="24"/>
          <w:szCs w:val="24"/>
          <w:lang w:val="es-PR"/>
        </w:rPr>
        <w:t>e estima</w:t>
      </w:r>
      <w:r w:rsidR="005419A2" w:rsidRPr="00A35C16">
        <w:rPr>
          <w:rFonts w:ascii="Arial" w:hAnsi="Arial" w:cs="Arial"/>
          <w:sz w:val="24"/>
          <w:szCs w:val="24"/>
          <w:lang w:val="es-PR"/>
        </w:rPr>
        <w:t xml:space="preserve"> que la cantidad de beneficiados </w:t>
      </w:r>
      <w:r w:rsidR="000B7BDE" w:rsidRPr="00A35C16">
        <w:rPr>
          <w:rFonts w:ascii="Arial" w:hAnsi="Arial" w:cs="Arial"/>
          <w:sz w:val="24"/>
          <w:szCs w:val="24"/>
          <w:lang w:val="es-PR"/>
        </w:rPr>
        <w:t>disminuirá</w:t>
      </w:r>
      <w:r w:rsidR="001E36C5" w:rsidRPr="00A35C16">
        <w:rPr>
          <w:rFonts w:ascii="Arial" w:hAnsi="Arial" w:cs="Arial"/>
          <w:sz w:val="24"/>
          <w:szCs w:val="24"/>
          <w:lang w:val="es-PR"/>
        </w:rPr>
        <w:t xml:space="preserve"> a unos 20,000. </w:t>
      </w:r>
      <w:r w:rsidR="005419A2" w:rsidRPr="00A35C16">
        <w:rPr>
          <w:rFonts w:ascii="Arial" w:hAnsi="Arial" w:cs="Arial"/>
          <w:sz w:val="24"/>
          <w:szCs w:val="24"/>
          <w:lang w:val="es-PR"/>
        </w:rPr>
        <w:t>Entre los logros de APAE destacan:</w:t>
      </w:r>
    </w:p>
    <w:p w:rsidR="00B34B1C" w:rsidRPr="00A35C16" w:rsidRDefault="00B34B1C" w:rsidP="00137B04">
      <w:pPr>
        <w:pStyle w:val="ListParagraph"/>
        <w:spacing w:after="0" w:line="240" w:lineRule="auto"/>
        <w:ind w:left="0"/>
        <w:jc w:val="both"/>
        <w:rPr>
          <w:rFonts w:ascii="Arial" w:hAnsi="Arial" w:cs="Arial"/>
          <w:sz w:val="24"/>
          <w:szCs w:val="24"/>
          <w:lang w:val="es-PR"/>
        </w:rPr>
      </w:pPr>
    </w:p>
    <w:p w:rsidR="00CF1AF2" w:rsidRPr="00A35C16" w:rsidRDefault="005419A2" w:rsidP="00137B04">
      <w:pPr>
        <w:pStyle w:val="ListParagraph"/>
        <w:numPr>
          <w:ilvl w:val="0"/>
          <w:numId w:val="13"/>
        </w:numPr>
        <w:spacing w:after="0" w:line="240" w:lineRule="auto"/>
        <w:jc w:val="both"/>
        <w:rPr>
          <w:rFonts w:ascii="Arial" w:hAnsi="Arial" w:cs="Arial"/>
          <w:sz w:val="24"/>
          <w:szCs w:val="24"/>
          <w:lang w:val="es-PR"/>
        </w:rPr>
      </w:pPr>
      <w:r w:rsidRPr="00A35C16">
        <w:rPr>
          <w:rFonts w:ascii="Arial" w:hAnsi="Arial" w:cs="Arial"/>
          <w:sz w:val="24"/>
          <w:szCs w:val="24"/>
          <w:lang w:val="es-PR"/>
        </w:rPr>
        <w:t>Llevar a cabo</w:t>
      </w:r>
      <w:r w:rsidR="00CF1AF2" w:rsidRPr="00A35C16">
        <w:rPr>
          <w:rFonts w:ascii="Arial" w:hAnsi="Arial" w:cs="Arial"/>
          <w:sz w:val="24"/>
          <w:szCs w:val="24"/>
          <w:lang w:val="es-PR"/>
        </w:rPr>
        <w:t xml:space="preserve"> pruebas de cumplimiento en la administración de fondos otorgados por parte de las instituciones participantes.  </w:t>
      </w:r>
    </w:p>
    <w:p w:rsidR="00CF1AF2" w:rsidRPr="00A35C16" w:rsidRDefault="00B34B1C" w:rsidP="00137B04">
      <w:pPr>
        <w:pStyle w:val="ListParagraph"/>
        <w:numPr>
          <w:ilvl w:val="0"/>
          <w:numId w:val="13"/>
        </w:numPr>
        <w:spacing w:after="0" w:line="240" w:lineRule="auto"/>
        <w:jc w:val="both"/>
        <w:rPr>
          <w:rFonts w:ascii="Arial" w:hAnsi="Arial" w:cs="Arial"/>
          <w:sz w:val="24"/>
          <w:szCs w:val="24"/>
          <w:lang w:val="es-PR"/>
        </w:rPr>
      </w:pPr>
      <w:r>
        <w:rPr>
          <w:rFonts w:ascii="Arial" w:hAnsi="Arial" w:cs="Arial"/>
          <w:sz w:val="24"/>
          <w:szCs w:val="24"/>
          <w:lang w:val="es-PR"/>
        </w:rPr>
        <w:t xml:space="preserve">Divulgación de los </w:t>
      </w:r>
      <w:r w:rsidR="00CF1AF2" w:rsidRPr="00A35C16">
        <w:rPr>
          <w:rFonts w:ascii="Arial" w:hAnsi="Arial" w:cs="Arial"/>
          <w:sz w:val="24"/>
          <w:szCs w:val="24"/>
          <w:lang w:val="es-PR"/>
        </w:rPr>
        <w:t xml:space="preserve">datos estadísticos sobre el uso y beneficiados de los fondos estatales de asistencia económica. </w:t>
      </w:r>
    </w:p>
    <w:p w:rsidR="00CF1AF2" w:rsidRPr="00A35C16" w:rsidRDefault="00CF1AF2" w:rsidP="00137B04">
      <w:pPr>
        <w:pStyle w:val="ListParagraph"/>
        <w:numPr>
          <w:ilvl w:val="0"/>
          <w:numId w:val="13"/>
        </w:numPr>
        <w:spacing w:after="0" w:line="240" w:lineRule="auto"/>
        <w:jc w:val="both"/>
        <w:rPr>
          <w:rFonts w:ascii="Arial" w:hAnsi="Arial" w:cs="Arial"/>
          <w:sz w:val="24"/>
          <w:szCs w:val="24"/>
          <w:lang w:val="es-PR"/>
        </w:rPr>
      </w:pPr>
      <w:r w:rsidRPr="00A35C16">
        <w:rPr>
          <w:rFonts w:ascii="Arial" w:hAnsi="Arial" w:cs="Arial"/>
          <w:sz w:val="24"/>
          <w:szCs w:val="24"/>
          <w:lang w:val="es-PR"/>
        </w:rPr>
        <w:t>Desarrollo del Sistema de Nóminas de Ayudas Fin</w:t>
      </w:r>
      <w:r w:rsidR="00B162EF" w:rsidRPr="00A35C16">
        <w:rPr>
          <w:rFonts w:ascii="Arial" w:hAnsi="Arial" w:cs="Arial"/>
          <w:sz w:val="24"/>
          <w:szCs w:val="24"/>
          <w:lang w:val="es-PR"/>
        </w:rPr>
        <w:t>ancieras a Estudiantes (SINAFE)</w:t>
      </w:r>
      <w:r w:rsidR="00087D78" w:rsidRPr="00A35C16">
        <w:rPr>
          <w:rFonts w:ascii="Arial" w:hAnsi="Arial" w:cs="Arial"/>
          <w:sz w:val="24"/>
          <w:szCs w:val="24"/>
          <w:lang w:val="es-PR"/>
        </w:rPr>
        <w:t>.</w:t>
      </w:r>
      <w:r w:rsidR="005419A2" w:rsidRPr="00A35C16">
        <w:rPr>
          <w:rFonts w:ascii="Arial" w:hAnsi="Arial" w:cs="Arial"/>
          <w:sz w:val="24"/>
          <w:szCs w:val="24"/>
          <w:lang w:val="es-PR"/>
        </w:rPr>
        <w:t xml:space="preserve"> </w:t>
      </w:r>
    </w:p>
    <w:p w:rsidR="005419A2" w:rsidRPr="00A35C16" w:rsidRDefault="00CF1AF2" w:rsidP="00137B04">
      <w:pPr>
        <w:pStyle w:val="ListParagraph"/>
        <w:numPr>
          <w:ilvl w:val="0"/>
          <w:numId w:val="13"/>
        </w:numPr>
        <w:spacing w:after="0" w:line="240" w:lineRule="auto"/>
        <w:jc w:val="both"/>
        <w:rPr>
          <w:rFonts w:ascii="Arial" w:hAnsi="Arial" w:cs="Arial"/>
          <w:sz w:val="24"/>
          <w:szCs w:val="24"/>
          <w:lang w:val="es-ES"/>
        </w:rPr>
      </w:pPr>
      <w:r w:rsidRPr="00A35C16">
        <w:rPr>
          <w:rFonts w:ascii="Arial" w:hAnsi="Arial" w:cs="Arial"/>
          <w:sz w:val="24"/>
          <w:szCs w:val="24"/>
          <w:lang w:val="es-PR"/>
        </w:rPr>
        <w:t xml:space="preserve">Diseño de  </w:t>
      </w:r>
      <w:r w:rsidR="006A0EE5" w:rsidRPr="00A35C16">
        <w:rPr>
          <w:rFonts w:ascii="Arial" w:hAnsi="Arial" w:cs="Arial"/>
          <w:sz w:val="24"/>
          <w:szCs w:val="24"/>
          <w:lang w:val="es-PR"/>
        </w:rPr>
        <w:t xml:space="preserve">los </w:t>
      </w:r>
      <w:r w:rsidR="008C5EAD">
        <w:rPr>
          <w:rFonts w:ascii="Arial" w:hAnsi="Arial" w:cs="Arial"/>
          <w:sz w:val="24"/>
          <w:szCs w:val="24"/>
          <w:lang w:val="es-PR"/>
        </w:rPr>
        <w:t>programas de becas</w:t>
      </w:r>
      <w:r w:rsidR="006A0EE5" w:rsidRPr="00A35C16">
        <w:rPr>
          <w:rFonts w:ascii="Arial" w:hAnsi="Arial" w:cs="Arial"/>
          <w:sz w:val="24"/>
          <w:szCs w:val="24"/>
          <w:lang w:val="es-PR"/>
        </w:rPr>
        <w:t xml:space="preserve"> </w:t>
      </w:r>
      <w:r w:rsidRPr="00A35C16">
        <w:rPr>
          <w:rFonts w:ascii="Arial" w:hAnsi="Arial" w:cs="Arial"/>
          <w:sz w:val="24"/>
          <w:szCs w:val="24"/>
          <w:lang w:val="es-PR"/>
        </w:rPr>
        <w:t>en beneficio de estudiantes con mérito académico y de c</w:t>
      </w:r>
      <w:r w:rsidR="006A0EE5" w:rsidRPr="00A35C16">
        <w:rPr>
          <w:rFonts w:ascii="Arial" w:hAnsi="Arial" w:cs="Arial"/>
          <w:sz w:val="24"/>
          <w:szCs w:val="24"/>
          <w:lang w:val="es-PR"/>
        </w:rPr>
        <w:t xml:space="preserve">arreras prioritarias. </w:t>
      </w:r>
      <w:r w:rsidRPr="00A35C16">
        <w:rPr>
          <w:rFonts w:ascii="Arial" w:hAnsi="Arial" w:cs="Arial"/>
          <w:sz w:val="24"/>
          <w:szCs w:val="24"/>
          <w:lang w:val="es-PR"/>
        </w:rPr>
        <w:t xml:space="preserve"> </w:t>
      </w:r>
    </w:p>
    <w:p w:rsidR="005A335E" w:rsidRPr="00E62A22" w:rsidRDefault="005A335E" w:rsidP="00137B04">
      <w:pPr>
        <w:pStyle w:val="ListParagraph"/>
        <w:numPr>
          <w:ilvl w:val="0"/>
          <w:numId w:val="13"/>
        </w:numPr>
        <w:spacing w:after="0" w:line="240" w:lineRule="auto"/>
        <w:jc w:val="both"/>
        <w:rPr>
          <w:rFonts w:ascii="Arial" w:hAnsi="Arial" w:cs="Arial"/>
          <w:sz w:val="24"/>
          <w:szCs w:val="24"/>
          <w:lang w:val="es-ES"/>
        </w:rPr>
      </w:pPr>
      <w:r w:rsidRPr="00E62A22">
        <w:rPr>
          <w:rFonts w:ascii="Arial" w:hAnsi="Arial" w:cs="Arial"/>
          <w:sz w:val="24"/>
          <w:szCs w:val="24"/>
          <w:lang w:val="es-PR"/>
        </w:rPr>
        <w:t>Cr</w:t>
      </w:r>
      <w:r w:rsidR="006A0EE5" w:rsidRPr="00E62A22">
        <w:rPr>
          <w:rFonts w:ascii="Arial" w:hAnsi="Arial" w:cs="Arial"/>
          <w:sz w:val="24"/>
          <w:szCs w:val="24"/>
          <w:lang w:val="es-PR"/>
        </w:rPr>
        <w:t>eación de alianzas estratégicas c</w:t>
      </w:r>
      <w:r w:rsidRPr="00E62A22">
        <w:rPr>
          <w:rFonts w:ascii="Arial" w:hAnsi="Arial" w:cs="Arial"/>
          <w:sz w:val="24"/>
          <w:szCs w:val="24"/>
          <w:lang w:val="es-PR"/>
        </w:rPr>
        <w:t>omo parte del desarrollo de nuevos programas es</w:t>
      </w:r>
      <w:r w:rsidR="0029226D" w:rsidRPr="00E62A22">
        <w:rPr>
          <w:rFonts w:ascii="Arial" w:hAnsi="Arial" w:cs="Arial"/>
          <w:sz w:val="24"/>
          <w:szCs w:val="24"/>
          <w:lang w:val="es-PR"/>
        </w:rPr>
        <w:t>tatales de asistencia económica</w:t>
      </w:r>
      <w:r w:rsidR="00087D78" w:rsidRPr="00E62A22">
        <w:rPr>
          <w:rFonts w:ascii="Arial" w:hAnsi="Arial" w:cs="Arial"/>
          <w:sz w:val="24"/>
          <w:szCs w:val="24"/>
          <w:lang w:val="es-ES"/>
        </w:rPr>
        <w:t xml:space="preserve"> </w:t>
      </w:r>
      <w:r w:rsidR="006A0EE5" w:rsidRPr="00E62A22">
        <w:rPr>
          <w:rFonts w:ascii="Arial" w:hAnsi="Arial" w:cs="Arial"/>
          <w:sz w:val="24"/>
          <w:szCs w:val="24"/>
          <w:lang w:val="es-PR"/>
        </w:rPr>
        <w:t xml:space="preserve">tales como: </w:t>
      </w:r>
      <w:r w:rsidRPr="00E62A22">
        <w:rPr>
          <w:rFonts w:ascii="Arial" w:hAnsi="Arial" w:cs="Arial"/>
          <w:sz w:val="24"/>
          <w:szCs w:val="24"/>
          <w:lang w:val="es-PR"/>
        </w:rPr>
        <w:t>la Compañía de Fomento Industrial (PRIDCO), Cámara de Comercio, Asociación de Industriales y Departamento del Trabajo.</w:t>
      </w:r>
    </w:p>
    <w:p w:rsidR="005A335E" w:rsidRPr="00A35C16" w:rsidRDefault="005A335E" w:rsidP="00137B04">
      <w:pPr>
        <w:pStyle w:val="ListParagraph"/>
        <w:numPr>
          <w:ilvl w:val="0"/>
          <w:numId w:val="13"/>
        </w:numPr>
        <w:spacing w:after="0" w:line="240" w:lineRule="auto"/>
        <w:jc w:val="both"/>
        <w:rPr>
          <w:rFonts w:ascii="Arial" w:hAnsi="Arial" w:cs="Arial"/>
          <w:sz w:val="24"/>
          <w:szCs w:val="24"/>
          <w:lang w:val="es-ES"/>
        </w:rPr>
      </w:pPr>
      <w:r w:rsidRPr="00A35C16">
        <w:rPr>
          <w:rFonts w:ascii="Arial" w:hAnsi="Arial" w:cs="Arial"/>
          <w:sz w:val="24"/>
          <w:szCs w:val="24"/>
          <w:lang w:val="es-PR"/>
        </w:rPr>
        <w:t>Simplificación del proceso de Petición de Fondos</w:t>
      </w:r>
      <w:r w:rsidR="006A0EE5" w:rsidRPr="00A35C16">
        <w:rPr>
          <w:rFonts w:ascii="Arial" w:hAnsi="Arial" w:cs="Arial"/>
          <w:sz w:val="24"/>
          <w:szCs w:val="24"/>
          <w:lang w:val="es-PR"/>
        </w:rPr>
        <w:t xml:space="preserve"> con el propósito de consolidar </w:t>
      </w:r>
      <w:r w:rsidR="00C27DC1" w:rsidRPr="00A35C16">
        <w:rPr>
          <w:rFonts w:ascii="Arial" w:hAnsi="Arial" w:cs="Arial"/>
          <w:sz w:val="24"/>
          <w:szCs w:val="24"/>
          <w:lang w:val="es-PR"/>
        </w:rPr>
        <w:t>e</w:t>
      </w:r>
      <w:r w:rsidR="006A0EE5" w:rsidRPr="00A35C16">
        <w:rPr>
          <w:rFonts w:ascii="Arial" w:hAnsi="Arial" w:cs="Arial"/>
          <w:sz w:val="24"/>
          <w:szCs w:val="24"/>
          <w:lang w:val="es-PR"/>
        </w:rPr>
        <w:t>l trámite</w:t>
      </w:r>
      <w:r w:rsidR="00E62A22">
        <w:rPr>
          <w:rFonts w:ascii="Arial" w:hAnsi="Arial" w:cs="Arial"/>
          <w:sz w:val="24"/>
          <w:szCs w:val="24"/>
          <w:lang w:val="es-PR"/>
        </w:rPr>
        <w:t>.</w:t>
      </w:r>
      <w:r w:rsidR="006A0EE5" w:rsidRPr="00A35C16">
        <w:rPr>
          <w:rFonts w:ascii="Arial" w:hAnsi="Arial" w:cs="Arial"/>
          <w:sz w:val="24"/>
          <w:szCs w:val="24"/>
          <w:lang w:val="es-PR"/>
        </w:rPr>
        <w:t xml:space="preserve">  </w:t>
      </w:r>
    </w:p>
    <w:p w:rsidR="00796351" w:rsidRPr="00A35C16" w:rsidRDefault="00796351" w:rsidP="00137B04">
      <w:pPr>
        <w:pStyle w:val="ListParagraph"/>
        <w:numPr>
          <w:ilvl w:val="0"/>
          <w:numId w:val="13"/>
        </w:numPr>
        <w:spacing w:after="0" w:line="240" w:lineRule="auto"/>
        <w:jc w:val="both"/>
        <w:rPr>
          <w:rFonts w:ascii="Arial" w:hAnsi="Arial" w:cs="Arial"/>
          <w:sz w:val="24"/>
          <w:szCs w:val="24"/>
          <w:lang w:val="es-ES"/>
        </w:rPr>
      </w:pPr>
      <w:r w:rsidRPr="00A35C16">
        <w:rPr>
          <w:rFonts w:ascii="Arial" w:hAnsi="Arial" w:cs="Arial"/>
          <w:sz w:val="24"/>
          <w:szCs w:val="24"/>
          <w:lang w:val="es-PR"/>
        </w:rPr>
        <w:t>Estudio de Efectividad de Programas de Asistencia Económica</w:t>
      </w:r>
      <w:r w:rsidR="00087D78" w:rsidRPr="00A35C16">
        <w:rPr>
          <w:rFonts w:ascii="Arial" w:hAnsi="Arial" w:cs="Arial"/>
          <w:sz w:val="24"/>
          <w:szCs w:val="24"/>
          <w:lang w:val="es-PR"/>
        </w:rPr>
        <w:t>-</w:t>
      </w:r>
      <w:r w:rsidR="006A0EE5" w:rsidRPr="00A35C16">
        <w:rPr>
          <w:rFonts w:ascii="Arial" w:hAnsi="Arial" w:cs="Arial"/>
          <w:sz w:val="24"/>
          <w:szCs w:val="24"/>
          <w:lang w:val="es-PR"/>
        </w:rPr>
        <w:t xml:space="preserve"> estudio encomendado con el</w:t>
      </w:r>
      <w:r w:rsidR="006A0EE5" w:rsidRPr="00A35C16">
        <w:rPr>
          <w:rFonts w:ascii="Arial" w:hAnsi="Arial" w:cs="Arial"/>
          <w:b/>
          <w:sz w:val="24"/>
          <w:szCs w:val="24"/>
          <w:lang w:val="es-PR"/>
        </w:rPr>
        <w:t xml:space="preserve"> </w:t>
      </w:r>
      <w:r w:rsidR="00365268" w:rsidRPr="00A35C16">
        <w:rPr>
          <w:rFonts w:ascii="Arial" w:hAnsi="Arial" w:cs="Arial"/>
          <w:sz w:val="24"/>
          <w:szCs w:val="24"/>
          <w:lang w:val="es-PR"/>
        </w:rPr>
        <w:t>propósito medir la e</w:t>
      </w:r>
      <w:r w:rsidR="006A0EE5" w:rsidRPr="00A35C16">
        <w:rPr>
          <w:rFonts w:ascii="Arial" w:hAnsi="Arial" w:cs="Arial"/>
          <w:sz w:val="24"/>
          <w:szCs w:val="24"/>
          <w:lang w:val="es-PR"/>
        </w:rPr>
        <w:t xml:space="preserve">ficiencia </w:t>
      </w:r>
      <w:r w:rsidR="00365268" w:rsidRPr="00A35C16">
        <w:rPr>
          <w:rFonts w:ascii="Arial" w:hAnsi="Arial" w:cs="Arial"/>
          <w:sz w:val="24"/>
          <w:szCs w:val="24"/>
          <w:lang w:val="es-PR"/>
        </w:rPr>
        <w:t>y efectividad de los programas de asistencia económic</w:t>
      </w:r>
      <w:r w:rsidR="008C5EAD">
        <w:rPr>
          <w:rFonts w:ascii="Arial" w:hAnsi="Arial" w:cs="Arial"/>
          <w:sz w:val="24"/>
          <w:szCs w:val="24"/>
          <w:lang w:val="es-PR"/>
        </w:rPr>
        <w:t>a que administra el CEPR e implementar</w:t>
      </w:r>
      <w:r w:rsidR="00365268" w:rsidRPr="00A35C16">
        <w:rPr>
          <w:rFonts w:ascii="Arial" w:hAnsi="Arial" w:cs="Arial"/>
          <w:sz w:val="24"/>
          <w:szCs w:val="24"/>
          <w:lang w:val="es-PR"/>
        </w:rPr>
        <w:t xml:space="preserve"> las recomendaciones</w:t>
      </w:r>
      <w:r w:rsidR="00776F23" w:rsidRPr="00A35C16">
        <w:rPr>
          <w:rFonts w:ascii="Arial" w:hAnsi="Arial" w:cs="Arial"/>
          <w:sz w:val="24"/>
          <w:szCs w:val="24"/>
          <w:lang w:val="es-PR"/>
        </w:rPr>
        <w:t>.</w:t>
      </w:r>
    </w:p>
    <w:p w:rsidR="008A4B39" w:rsidRPr="00A35C16" w:rsidRDefault="00685567" w:rsidP="00137B04">
      <w:pPr>
        <w:pStyle w:val="ListParagraph"/>
        <w:numPr>
          <w:ilvl w:val="0"/>
          <w:numId w:val="13"/>
        </w:numPr>
        <w:spacing w:after="0" w:line="240" w:lineRule="auto"/>
        <w:jc w:val="both"/>
        <w:rPr>
          <w:rFonts w:ascii="Arial" w:hAnsi="Arial" w:cs="Arial"/>
          <w:sz w:val="24"/>
          <w:szCs w:val="24"/>
          <w:lang w:val="es-ES"/>
        </w:rPr>
      </w:pPr>
      <w:r w:rsidRPr="00A35C16">
        <w:rPr>
          <w:rFonts w:ascii="Arial" w:hAnsi="Arial" w:cs="Arial"/>
          <w:sz w:val="24"/>
          <w:szCs w:val="24"/>
          <w:lang w:val="es-PR"/>
        </w:rPr>
        <w:t>No Child Left Behind</w:t>
      </w:r>
      <w:r w:rsidR="006A0EE5" w:rsidRPr="00A35C16">
        <w:rPr>
          <w:rFonts w:ascii="Arial" w:hAnsi="Arial" w:cs="Arial"/>
          <w:sz w:val="24"/>
          <w:szCs w:val="24"/>
          <w:lang w:val="es-PR"/>
        </w:rPr>
        <w:t>-</w:t>
      </w:r>
      <w:r w:rsidRPr="00A35C16">
        <w:rPr>
          <w:rFonts w:ascii="Arial" w:hAnsi="Arial" w:cs="Arial"/>
          <w:b/>
          <w:sz w:val="24"/>
          <w:szCs w:val="24"/>
          <w:lang w:val="es-PR"/>
        </w:rPr>
        <w:t xml:space="preserve"> </w:t>
      </w:r>
      <w:r w:rsidR="006A0EE5" w:rsidRPr="00A35C16">
        <w:rPr>
          <w:rFonts w:ascii="Arial" w:hAnsi="Arial" w:cs="Arial"/>
          <w:sz w:val="24"/>
          <w:szCs w:val="24"/>
          <w:lang w:val="es-PR"/>
        </w:rPr>
        <w:t>este programa</w:t>
      </w:r>
      <w:r w:rsidR="006A0EE5" w:rsidRPr="00A35C16">
        <w:rPr>
          <w:rFonts w:ascii="Arial" w:hAnsi="Arial" w:cs="Arial"/>
          <w:b/>
          <w:sz w:val="24"/>
          <w:szCs w:val="24"/>
          <w:lang w:val="es-PR"/>
        </w:rPr>
        <w:t xml:space="preserve"> </w:t>
      </w:r>
      <w:r w:rsidR="00D91E14" w:rsidRPr="00A35C16">
        <w:rPr>
          <w:rFonts w:ascii="Arial" w:hAnsi="Arial" w:cs="Arial"/>
          <w:sz w:val="24"/>
          <w:szCs w:val="24"/>
          <w:lang w:val="es-PR"/>
        </w:rPr>
        <w:t xml:space="preserve">provee a los </w:t>
      </w:r>
      <w:r w:rsidR="00365268" w:rsidRPr="00A35C16">
        <w:rPr>
          <w:rFonts w:ascii="Arial" w:hAnsi="Arial" w:cs="Arial"/>
          <w:sz w:val="24"/>
          <w:szCs w:val="24"/>
          <w:lang w:val="es-PR"/>
        </w:rPr>
        <w:t xml:space="preserve">consorcios </w:t>
      </w:r>
      <w:r w:rsidR="00D91E14" w:rsidRPr="00A35C16">
        <w:rPr>
          <w:rFonts w:ascii="Arial" w:hAnsi="Arial" w:cs="Arial"/>
          <w:sz w:val="24"/>
          <w:szCs w:val="24"/>
          <w:lang w:val="es-PR"/>
        </w:rPr>
        <w:t>elegibles</w:t>
      </w:r>
      <w:r w:rsidR="008F7C4D" w:rsidRPr="00A35C16">
        <w:rPr>
          <w:rFonts w:ascii="Arial" w:hAnsi="Arial" w:cs="Arial"/>
          <w:sz w:val="24"/>
          <w:szCs w:val="24"/>
          <w:lang w:val="es-PR"/>
        </w:rPr>
        <w:t xml:space="preserve"> oportunidad</w:t>
      </w:r>
      <w:r w:rsidR="00E62A22">
        <w:rPr>
          <w:rFonts w:ascii="Arial" w:hAnsi="Arial" w:cs="Arial"/>
          <w:sz w:val="24"/>
          <w:szCs w:val="24"/>
          <w:lang w:val="es-PR"/>
        </w:rPr>
        <w:t>es</w:t>
      </w:r>
      <w:r w:rsidR="008F7C4D" w:rsidRPr="00A35C16">
        <w:rPr>
          <w:rFonts w:ascii="Arial" w:hAnsi="Arial" w:cs="Arial"/>
          <w:sz w:val="24"/>
          <w:szCs w:val="24"/>
          <w:lang w:val="es-PR"/>
        </w:rPr>
        <w:t xml:space="preserve"> de</w:t>
      </w:r>
      <w:r w:rsidR="00E62A22">
        <w:rPr>
          <w:rFonts w:ascii="Arial" w:hAnsi="Arial" w:cs="Arial"/>
          <w:sz w:val="24"/>
          <w:szCs w:val="24"/>
          <w:lang w:val="es-PR"/>
        </w:rPr>
        <w:t xml:space="preserve"> desarrollo profesional a maestros y directores.</w:t>
      </w:r>
      <w:r w:rsidR="00D91E14" w:rsidRPr="00A35C16">
        <w:rPr>
          <w:rFonts w:ascii="Arial" w:hAnsi="Arial" w:cs="Arial"/>
          <w:sz w:val="24"/>
          <w:szCs w:val="24"/>
          <w:lang w:val="es-PR"/>
        </w:rPr>
        <w:t xml:space="preserve"> </w:t>
      </w:r>
      <w:r w:rsidR="002F42FF" w:rsidRPr="00A35C16">
        <w:rPr>
          <w:rFonts w:ascii="Arial" w:hAnsi="Arial" w:cs="Arial"/>
          <w:sz w:val="24"/>
          <w:szCs w:val="24"/>
          <w:lang w:val="es-ES"/>
        </w:rPr>
        <w:t xml:space="preserve">En el 2014-15 se subsidiaron 10 proyectos que atendieron 258 maestros </w:t>
      </w:r>
      <w:r w:rsidR="00D91E14" w:rsidRPr="00A35C16">
        <w:rPr>
          <w:rFonts w:ascii="Arial" w:hAnsi="Arial" w:cs="Arial"/>
          <w:sz w:val="24"/>
          <w:szCs w:val="24"/>
          <w:lang w:val="es-ES"/>
        </w:rPr>
        <w:t>e</w:t>
      </w:r>
      <w:r w:rsidR="002F42FF" w:rsidRPr="00A35C16">
        <w:rPr>
          <w:rFonts w:ascii="Arial" w:hAnsi="Arial" w:cs="Arial"/>
          <w:sz w:val="24"/>
          <w:szCs w:val="24"/>
          <w:lang w:val="es-ES"/>
        </w:rPr>
        <w:t xml:space="preserve"> impactaron</w:t>
      </w:r>
      <w:r w:rsidR="00D91E14" w:rsidRPr="00A35C16">
        <w:rPr>
          <w:rFonts w:ascii="Arial" w:hAnsi="Arial" w:cs="Arial"/>
          <w:sz w:val="24"/>
          <w:szCs w:val="24"/>
          <w:lang w:val="es-ES"/>
        </w:rPr>
        <w:t xml:space="preserve"> a</w:t>
      </w:r>
      <w:r w:rsidR="002F42FF" w:rsidRPr="00A35C16">
        <w:rPr>
          <w:rFonts w:ascii="Arial" w:hAnsi="Arial" w:cs="Arial"/>
          <w:sz w:val="24"/>
          <w:szCs w:val="24"/>
          <w:lang w:val="es-ES"/>
        </w:rPr>
        <w:t xml:space="preserve"> 32,281 estudiantes </w:t>
      </w:r>
      <w:r w:rsidR="00087D78" w:rsidRPr="00A35C16">
        <w:rPr>
          <w:rFonts w:ascii="Arial" w:hAnsi="Arial" w:cs="Arial"/>
          <w:sz w:val="24"/>
          <w:szCs w:val="24"/>
          <w:lang w:val="es-ES"/>
        </w:rPr>
        <w:t>incluyendo educación especial</w:t>
      </w:r>
      <w:r w:rsidR="00D91E14" w:rsidRPr="00A35C16">
        <w:rPr>
          <w:rFonts w:ascii="Arial" w:hAnsi="Arial" w:cs="Arial"/>
          <w:sz w:val="24"/>
          <w:szCs w:val="24"/>
          <w:lang w:val="es-ES"/>
        </w:rPr>
        <w:t>. En el año</w:t>
      </w:r>
      <w:r w:rsidR="002F42FF" w:rsidRPr="00A35C16">
        <w:rPr>
          <w:rFonts w:ascii="Arial" w:hAnsi="Arial" w:cs="Arial"/>
          <w:sz w:val="24"/>
          <w:szCs w:val="24"/>
          <w:lang w:val="es-ES"/>
        </w:rPr>
        <w:t xml:space="preserve"> 2015-16 se subsidian 9 proyectos que atienden a 208 maestros </w:t>
      </w:r>
      <w:r w:rsidR="00D91E14" w:rsidRPr="00A35C16">
        <w:rPr>
          <w:rFonts w:ascii="Arial" w:hAnsi="Arial" w:cs="Arial"/>
          <w:sz w:val="24"/>
          <w:szCs w:val="24"/>
          <w:lang w:val="es-ES"/>
        </w:rPr>
        <w:t>e impactan</w:t>
      </w:r>
      <w:r w:rsidR="002F42FF" w:rsidRPr="00A35C16">
        <w:rPr>
          <w:rFonts w:ascii="Arial" w:hAnsi="Arial" w:cs="Arial"/>
          <w:sz w:val="24"/>
          <w:szCs w:val="24"/>
          <w:lang w:val="es-ES"/>
        </w:rPr>
        <w:t xml:space="preserve"> a 16,302</w:t>
      </w:r>
      <w:r w:rsidR="00D91E14" w:rsidRPr="00A35C16">
        <w:rPr>
          <w:rFonts w:ascii="Arial" w:hAnsi="Arial" w:cs="Arial"/>
          <w:sz w:val="24"/>
          <w:szCs w:val="24"/>
          <w:lang w:val="es-ES"/>
        </w:rPr>
        <w:t xml:space="preserve">. </w:t>
      </w:r>
    </w:p>
    <w:p w:rsidR="00137B04" w:rsidRDefault="00137B04" w:rsidP="00137B04">
      <w:pPr>
        <w:jc w:val="both"/>
        <w:rPr>
          <w:rFonts w:ascii="Arial" w:hAnsi="Arial" w:cs="Arial"/>
          <w:b/>
        </w:rPr>
      </w:pPr>
    </w:p>
    <w:p w:rsidR="005A335E" w:rsidRPr="00A35C16" w:rsidRDefault="005A335E" w:rsidP="00137B04">
      <w:pPr>
        <w:jc w:val="both"/>
        <w:rPr>
          <w:rFonts w:ascii="Arial" w:hAnsi="Arial" w:cs="Arial"/>
          <w:b/>
        </w:rPr>
      </w:pPr>
      <w:r w:rsidRPr="00A35C16">
        <w:rPr>
          <w:rFonts w:ascii="Arial" w:hAnsi="Arial" w:cs="Arial"/>
          <w:b/>
        </w:rPr>
        <w:t>ÁREA DE EVALUACIÓN, PLANIFICACIÓN, ESTADÍSTICAS E INVESTIGACIÓN</w:t>
      </w:r>
      <w:r w:rsidR="00DA5EFC" w:rsidRPr="00A35C16">
        <w:rPr>
          <w:rFonts w:ascii="Arial" w:hAnsi="Arial" w:cs="Arial"/>
          <w:b/>
        </w:rPr>
        <w:t xml:space="preserve"> (AEPEI)</w:t>
      </w:r>
    </w:p>
    <w:p w:rsidR="00137B04" w:rsidRDefault="00137B04" w:rsidP="00137B04">
      <w:pPr>
        <w:jc w:val="both"/>
        <w:rPr>
          <w:rFonts w:ascii="Arial" w:hAnsi="Arial" w:cs="Arial"/>
        </w:rPr>
      </w:pPr>
    </w:p>
    <w:p w:rsidR="005A335E" w:rsidRPr="00A35C16" w:rsidRDefault="00DA5EFC" w:rsidP="00137B04">
      <w:pPr>
        <w:jc w:val="both"/>
        <w:rPr>
          <w:rFonts w:ascii="Arial" w:hAnsi="Arial" w:cs="Arial"/>
        </w:rPr>
      </w:pPr>
      <w:r w:rsidRPr="00A35C16">
        <w:rPr>
          <w:rFonts w:ascii="Arial" w:hAnsi="Arial" w:cs="Arial"/>
        </w:rPr>
        <w:t>El á</w:t>
      </w:r>
      <w:r w:rsidR="005A335E" w:rsidRPr="00A35C16">
        <w:rPr>
          <w:rFonts w:ascii="Arial" w:hAnsi="Arial" w:cs="Arial"/>
        </w:rPr>
        <w:t xml:space="preserve">rea tiene la función de acopiar información, desarrollar bancos de datos, realizar o comisionar proyectos de investigación y desarrollar una cultura de investigación sobre educación básica y superior </w:t>
      </w:r>
      <w:r w:rsidR="005A335E" w:rsidRPr="00A35C16">
        <w:rPr>
          <w:rFonts w:ascii="Arial" w:hAnsi="Arial" w:cs="Arial"/>
          <w:lang w:val="es-ES"/>
        </w:rPr>
        <w:t xml:space="preserve">con miras a desarrollar políticas públicas sustentadas en datos. </w:t>
      </w:r>
      <w:r w:rsidR="005A335E" w:rsidRPr="00A35C16">
        <w:rPr>
          <w:rFonts w:ascii="Arial" w:hAnsi="Arial" w:cs="Arial"/>
        </w:rPr>
        <w:t>Tiene la responsabilidad de diseñar planes estratégicos, métricas de desempeño e indicadores para monitorear la educación en Puerto Rico. También realiza adiestramientos, seminarios y conferencias entre otras actividades.</w:t>
      </w:r>
      <w:r w:rsidRPr="00A35C16">
        <w:rPr>
          <w:rFonts w:ascii="Arial" w:hAnsi="Arial" w:cs="Arial"/>
        </w:rPr>
        <w:t xml:space="preserve"> Entre los logros de AEPEI se destacan: </w:t>
      </w:r>
    </w:p>
    <w:p w:rsidR="00DA5EFC" w:rsidRPr="00A35C16" w:rsidRDefault="00DA5EFC" w:rsidP="00137B04">
      <w:pPr>
        <w:jc w:val="both"/>
        <w:rPr>
          <w:rFonts w:ascii="Arial" w:hAnsi="Arial" w:cs="Arial"/>
        </w:rPr>
      </w:pPr>
    </w:p>
    <w:p w:rsidR="00DA5EFC" w:rsidRPr="00A35C16" w:rsidRDefault="00DA5EFC" w:rsidP="00137B04">
      <w:pPr>
        <w:pStyle w:val="ListParagraph"/>
        <w:numPr>
          <w:ilvl w:val="0"/>
          <w:numId w:val="15"/>
        </w:numPr>
        <w:spacing w:after="0" w:line="240" w:lineRule="auto"/>
        <w:jc w:val="both"/>
        <w:rPr>
          <w:rFonts w:ascii="Arial" w:hAnsi="Arial" w:cs="Arial"/>
          <w:sz w:val="24"/>
          <w:szCs w:val="24"/>
          <w:lang w:val="es-PR"/>
        </w:rPr>
      </w:pPr>
      <w:r w:rsidRPr="00A35C16">
        <w:rPr>
          <w:rFonts w:ascii="Arial" w:hAnsi="Arial" w:cs="Arial"/>
          <w:sz w:val="24"/>
          <w:szCs w:val="24"/>
          <w:lang w:val="es-PR"/>
        </w:rPr>
        <w:t>La publicación de</w:t>
      </w:r>
      <w:r w:rsidR="005A335E" w:rsidRPr="00A35C16">
        <w:rPr>
          <w:rFonts w:ascii="Arial" w:hAnsi="Arial" w:cs="Arial"/>
          <w:sz w:val="24"/>
          <w:szCs w:val="24"/>
          <w:lang w:val="es-PR"/>
        </w:rPr>
        <w:t xml:space="preserve"> estadísticas anuales de la educación privada en Puerto Rico</w:t>
      </w:r>
      <w:r w:rsidRPr="00A35C16">
        <w:rPr>
          <w:rFonts w:ascii="Arial" w:hAnsi="Arial" w:cs="Arial"/>
          <w:sz w:val="24"/>
          <w:szCs w:val="24"/>
          <w:lang w:val="es-PR"/>
        </w:rPr>
        <w:t xml:space="preserve"> </w:t>
      </w:r>
      <w:r w:rsidR="001E36C5" w:rsidRPr="00A35C16">
        <w:rPr>
          <w:rFonts w:ascii="Arial" w:hAnsi="Arial" w:cs="Arial"/>
          <w:sz w:val="24"/>
          <w:szCs w:val="24"/>
          <w:lang w:val="es-PR"/>
        </w:rPr>
        <w:t xml:space="preserve">- </w:t>
      </w:r>
      <w:r w:rsidR="005A335E" w:rsidRPr="00A35C16">
        <w:rPr>
          <w:rFonts w:ascii="Arial" w:hAnsi="Arial" w:cs="Arial"/>
          <w:sz w:val="24"/>
          <w:szCs w:val="24"/>
          <w:lang w:val="es-PR"/>
        </w:rPr>
        <w:t>se recopila y publica anualmente información de matrícula, oferta académica, personal y características institucionales de más de 700 instituciones de educación básica y</w:t>
      </w:r>
      <w:r w:rsidRPr="00A35C16">
        <w:rPr>
          <w:rFonts w:ascii="Arial" w:hAnsi="Arial" w:cs="Arial"/>
          <w:sz w:val="24"/>
          <w:szCs w:val="24"/>
          <w:lang w:val="es-PR"/>
        </w:rPr>
        <w:t xml:space="preserve"> de más de 400 instituciones postsecundaria técnico vocacionales</w:t>
      </w:r>
      <w:r w:rsidR="005A335E" w:rsidRPr="00A35C16">
        <w:rPr>
          <w:rFonts w:ascii="Arial" w:hAnsi="Arial" w:cs="Arial"/>
          <w:sz w:val="24"/>
          <w:szCs w:val="24"/>
          <w:lang w:val="es-PR"/>
        </w:rPr>
        <w:t xml:space="preserve"> privadas del país. </w:t>
      </w:r>
    </w:p>
    <w:p w:rsidR="005A335E" w:rsidRPr="00A35C16" w:rsidRDefault="005A335E" w:rsidP="00137B04">
      <w:pPr>
        <w:pStyle w:val="ListParagraph"/>
        <w:numPr>
          <w:ilvl w:val="0"/>
          <w:numId w:val="15"/>
        </w:numPr>
        <w:spacing w:after="0" w:line="240" w:lineRule="auto"/>
        <w:jc w:val="both"/>
        <w:rPr>
          <w:rFonts w:ascii="Arial" w:hAnsi="Arial" w:cs="Arial"/>
          <w:sz w:val="24"/>
          <w:szCs w:val="24"/>
          <w:lang w:val="es-PR"/>
        </w:rPr>
      </w:pPr>
      <w:r w:rsidRPr="00A35C16">
        <w:rPr>
          <w:rFonts w:ascii="Arial" w:hAnsi="Arial" w:cs="Arial"/>
          <w:sz w:val="24"/>
          <w:szCs w:val="24"/>
          <w:lang w:val="es-PR"/>
        </w:rPr>
        <w:t xml:space="preserve">Plataforma Electrónica de Datos sobre Educación </w:t>
      </w:r>
      <w:r w:rsidR="00DA5EFC" w:rsidRPr="00A35C16">
        <w:rPr>
          <w:rFonts w:ascii="Arial" w:hAnsi="Arial" w:cs="Arial"/>
          <w:sz w:val="24"/>
          <w:szCs w:val="24"/>
          <w:lang w:val="es-PR"/>
        </w:rPr>
        <w:t>(PLEDUC)</w:t>
      </w:r>
      <w:r w:rsidR="001E36C5" w:rsidRPr="00A35C16">
        <w:rPr>
          <w:rFonts w:ascii="Arial" w:hAnsi="Arial" w:cs="Arial"/>
          <w:sz w:val="24"/>
          <w:szCs w:val="24"/>
          <w:lang w:val="es-PR"/>
        </w:rPr>
        <w:t>-</w:t>
      </w:r>
      <w:r w:rsidRPr="00A35C16">
        <w:rPr>
          <w:rFonts w:ascii="Arial" w:hAnsi="Arial" w:cs="Arial"/>
          <w:sz w:val="24"/>
          <w:szCs w:val="24"/>
          <w:lang w:val="es-PR"/>
        </w:rPr>
        <w:t xml:space="preserve"> </w:t>
      </w:r>
      <w:r w:rsidR="00DA5EFC" w:rsidRPr="00A35C16">
        <w:rPr>
          <w:rFonts w:ascii="Arial" w:hAnsi="Arial" w:cs="Arial"/>
          <w:sz w:val="24"/>
          <w:szCs w:val="24"/>
          <w:lang w:val="es-PR"/>
        </w:rPr>
        <w:t>el</w:t>
      </w:r>
      <w:r w:rsidR="001E36C5" w:rsidRPr="00A35C16">
        <w:rPr>
          <w:rFonts w:ascii="Arial" w:hAnsi="Arial" w:cs="Arial"/>
          <w:sz w:val="24"/>
          <w:szCs w:val="24"/>
          <w:lang w:val="es-PR"/>
        </w:rPr>
        <w:t xml:space="preserve"> sistema</w:t>
      </w:r>
      <w:r w:rsidRPr="00A35C16">
        <w:rPr>
          <w:rFonts w:ascii="Arial" w:hAnsi="Arial" w:cs="Arial"/>
          <w:sz w:val="24"/>
          <w:szCs w:val="24"/>
          <w:lang w:val="es-PR"/>
        </w:rPr>
        <w:t xml:space="preserve"> accesible por internet, genera cerca de 2 millones de datos por año del sector educativo privado. Esta información, más la recopilada mediante el sistema IPEDS (</w:t>
      </w:r>
      <w:r w:rsidRPr="00A35C16">
        <w:rPr>
          <w:rFonts w:ascii="Arial" w:hAnsi="Arial" w:cs="Arial"/>
          <w:i/>
          <w:sz w:val="24"/>
          <w:szCs w:val="24"/>
          <w:lang w:val="es-PR"/>
        </w:rPr>
        <w:t>Integrated Postsecondary Education Data System</w:t>
      </w:r>
      <w:r w:rsidRPr="00A35C16">
        <w:rPr>
          <w:rFonts w:ascii="Arial" w:hAnsi="Arial" w:cs="Arial"/>
          <w:sz w:val="24"/>
          <w:szCs w:val="24"/>
          <w:lang w:val="es-PR"/>
        </w:rPr>
        <w:t>), se tabula y publica en Compendio</w:t>
      </w:r>
      <w:r w:rsidR="00B34B1C">
        <w:rPr>
          <w:rFonts w:ascii="Arial" w:hAnsi="Arial" w:cs="Arial"/>
          <w:sz w:val="24"/>
          <w:szCs w:val="24"/>
          <w:lang w:val="es-PR"/>
        </w:rPr>
        <w:t>s</w:t>
      </w:r>
      <w:r w:rsidRPr="00A35C16">
        <w:rPr>
          <w:rFonts w:ascii="Arial" w:hAnsi="Arial" w:cs="Arial"/>
          <w:sz w:val="24"/>
          <w:szCs w:val="24"/>
          <w:lang w:val="es-PR"/>
        </w:rPr>
        <w:t xml:space="preserve"> Estadístic</w:t>
      </w:r>
      <w:r w:rsidR="003F1AE2">
        <w:rPr>
          <w:rFonts w:ascii="Arial" w:hAnsi="Arial" w:cs="Arial"/>
          <w:sz w:val="24"/>
          <w:szCs w:val="24"/>
          <w:lang w:val="es-PR"/>
        </w:rPr>
        <w:t>os en la página web del Consejo.</w:t>
      </w:r>
    </w:p>
    <w:p w:rsidR="00750E62" w:rsidRPr="00A35C16" w:rsidRDefault="002E457F" w:rsidP="00137B04">
      <w:pPr>
        <w:pStyle w:val="ListParagraph"/>
        <w:numPr>
          <w:ilvl w:val="0"/>
          <w:numId w:val="15"/>
        </w:numPr>
        <w:spacing w:after="0" w:line="240" w:lineRule="auto"/>
        <w:rPr>
          <w:sz w:val="24"/>
          <w:szCs w:val="24"/>
          <w:lang w:val="es-PR"/>
        </w:rPr>
      </w:pPr>
      <w:r w:rsidRPr="00A35C16">
        <w:rPr>
          <w:rFonts w:ascii="Arial" w:hAnsi="Arial" w:cs="Arial"/>
          <w:sz w:val="24"/>
          <w:szCs w:val="24"/>
          <w:lang w:val="es-PR"/>
        </w:rPr>
        <w:t>Buscador de Escuelas</w:t>
      </w:r>
      <w:r w:rsidR="00750E62" w:rsidRPr="00A35C16">
        <w:rPr>
          <w:rFonts w:ascii="Arial" w:hAnsi="Arial" w:cs="Arial"/>
          <w:sz w:val="24"/>
          <w:szCs w:val="24"/>
          <w:lang w:val="es-PR"/>
        </w:rPr>
        <w:t>- esta herramienta le  permite buscar de manera sencilla y rápida una escuela, un instituto técnico-vocacional o una universidad dónde estudiar en Puerto Rico. Presenta un perfil de la institución que incluye información de contacto, oferta educativa, matrícula, costos de matrícula y mensualidad y descripción de instalaciones</w:t>
      </w:r>
      <w:r w:rsidR="00750E62" w:rsidRPr="00A35C16">
        <w:rPr>
          <w:sz w:val="24"/>
          <w:szCs w:val="24"/>
          <w:lang w:val="es-PR"/>
        </w:rPr>
        <w:t xml:space="preserve">. </w:t>
      </w:r>
    </w:p>
    <w:p w:rsidR="005A335E" w:rsidRPr="00A35C16" w:rsidRDefault="005A335E" w:rsidP="00137B04">
      <w:pPr>
        <w:pStyle w:val="ListParagraph"/>
        <w:numPr>
          <w:ilvl w:val="0"/>
          <w:numId w:val="15"/>
        </w:numPr>
        <w:spacing w:after="0" w:line="240" w:lineRule="auto"/>
        <w:jc w:val="both"/>
        <w:rPr>
          <w:rFonts w:ascii="Arial" w:hAnsi="Arial" w:cs="Arial"/>
          <w:sz w:val="24"/>
          <w:szCs w:val="24"/>
          <w:lang w:val="es-PR"/>
        </w:rPr>
      </w:pPr>
      <w:r w:rsidRPr="00A35C16">
        <w:rPr>
          <w:rFonts w:ascii="Arial" w:hAnsi="Arial" w:cs="Arial"/>
          <w:sz w:val="24"/>
          <w:szCs w:val="24"/>
          <w:lang w:val="es-PR"/>
        </w:rPr>
        <w:t>Proveer datos de transferencia de estudiantes entre las instituciones.</w:t>
      </w:r>
      <w:r w:rsidR="00087D78" w:rsidRPr="00A35C16">
        <w:rPr>
          <w:rFonts w:ascii="Arial" w:hAnsi="Arial" w:cs="Arial"/>
          <w:sz w:val="24"/>
          <w:szCs w:val="24"/>
          <w:lang w:val="es-PR"/>
        </w:rPr>
        <w:t>-</w:t>
      </w:r>
      <w:r w:rsidR="001E36C5" w:rsidRPr="00A35C16">
        <w:rPr>
          <w:rFonts w:ascii="Arial" w:hAnsi="Arial" w:cs="Arial"/>
          <w:sz w:val="24"/>
          <w:szCs w:val="24"/>
          <w:lang w:val="es-PR"/>
        </w:rPr>
        <w:t xml:space="preserve"> e</w:t>
      </w:r>
      <w:r w:rsidRPr="00A35C16">
        <w:rPr>
          <w:rFonts w:ascii="Arial" w:hAnsi="Arial" w:cs="Arial"/>
          <w:sz w:val="24"/>
          <w:szCs w:val="24"/>
          <w:lang w:val="es-PR"/>
        </w:rPr>
        <w:t>l CEPR actúa como centro de intercambio de información sobre transferencia de estudiantes entre las instituciones. Esta información es fundamental para que las instituciones completen el informe de tasas de graduación del IPEDS. Esta es una obligación de las institucion</w:t>
      </w:r>
      <w:r w:rsidR="00B34B1C">
        <w:rPr>
          <w:rFonts w:ascii="Arial" w:hAnsi="Arial" w:cs="Arial"/>
          <w:sz w:val="24"/>
          <w:szCs w:val="24"/>
          <w:lang w:val="es-PR"/>
        </w:rPr>
        <w:t>es que reciben fondos Título IV.</w:t>
      </w:r>
    </w:p>
    <w:p w:rsidR="005A335E" w:rsidRPr="00A35C16" w:rsidRDefault="00612758" w:rsidP="00137B04">
      <w:pPr>
        <w:pStyle w:val="ListParagraph"/>
        <w:numPr>
          <w:ilvl w:val="0"/>
          <w:numId w:val="15"/>
        </w:numPr>
        <w:spacing w:after="0" w:line="240" w:lineRule="auto"/>
        <w:jc w:val="both"/>
        <w:rPr>
          <w:rFonts w:ascii="Arial" w:hAnsi="Arial" w:cs="Arial"/>
          <w:sz w:val="24"/>
          <w:szCs w:val="24"/>
          <w:lang w:val="es-PR"/>
        </w:rPr>
      </w:pPr>
      <w:r w:rsidRPr="00A35C16">
        <w:rPr>
          <w:rFonts w:ascii="Arial" w:hAnsi="Arial" w:cs="Arial"/>
          <w:sz w:val="24"/>
          <w:szCs w:val="24"/>
          <w:lang w:val="es-PR"/>
        </w:rPr>
        <w:t xml:space="preserve">Internacionalización de </w:t>
      </w:r>
      <w:r w:rsidR="005A335E" w:rsidRPr="00A35C16">
        <w:rPr>
          <w:rFonts w:ascii="Arial" w:hAnsi="Arial" w:cs="Arial"/>
          <w:sz w:val="24"/>
          <w:szCs w:val="24"/>
          <w:lang w:val="es-PR"/>
        </w:rPr>
        <w:t>datos de la educación en Puerto Rico</w:t>
      </w:r>
      <w:r w:rsidR="00087D78" w:rsidRPr="00A35C16">
        <w:rPr>
          <w:rFonts w:ascii="Arial" w:hAnsi="Arial" w:cs="Arial"/>
          <w:sz w:val="24"/>
          <w:szCs w:val="24"/>
          <w:lang w:val="es-PR"/>
        </w:rPr>
        <w:t>-</w:t>
      </w:r>
      <w:r w:rsidR="005A335E" w:rsidRPr="00A35C16">
        <w:rPr>
          <w:rFonts w:ascii="Arial" w:hAnsi="Arial" w:cs="Arial"/>
          <w:sz w:val="24"/>
          <w:szCs w:val="24"/>
          <w:lang w:val="es-PR"/>
        </w:rPr>
        <w:t xml:space="preserve"> el CEPR provee datos al Instituto de Estadísticas de la UNESCO a través del Instituto de Estadísticas de Puerto Rico. La UNESCO publica esos datos en internet y en informes de comparaciones internacionales.</w:t>
      </w:r>
    </w:p>
    <w:p w:rsidR="00D92C2F" w:rsidRPr="00A35C16" w:rsidRDefault="008B5AD9" w:rsidP="00137B04">
      <w:pPr>
        <w:pStyle w:val="ListParagraph"/>
        <w:numPr>
          <w:ilvl w:val="0"/>
          <w:numId w:val="15"/>
        </w:numPr>
        <w:spacing w:after="0" w:line="240" w:lineRule="auto"/>
        <w:jc w:val="both"/>
        <w:rPr>
          <w:rFonts w:ascii="Arial" w:hAnsi="Arial" w:cs="Arial"/>
          <w:sz w:val="24"/>
          <w:szCs w:val="24"/>
          <w:lang w:val="es-PR"/>
        </w:rPr>
      </w:pPr>
      <w:r w:rsidRPr="00A35C16">
        <w:rPr>
          <w:rFonts w:ascii="Arial" w:hAnsi="Arial" w:cs="Arial"/>
          <w:sz w:val="24"/>
          <w:szCs w:val="24"/>
          <w:lang w:val="es-PR"/>
        </w:rPr>
        <w:t>Integración de</w:t>
      </w:r>
      <w:r w:rsidR="005A335E" w:rsidRPr="00A35C16">
        <w:rPr>
          <w:rFonts w:ascii="Arial" w:hAnsi="Arial" w:cs="Arial"/>
          <w:sz w:val="24"/>
          <w:szCs w:val="24"/>
          <w:lang w:val="es-PR"/>
        </w:rPr>
        <w:t xml:space="preserve"> representantes de la educación de diversos sectores y niveles</w:t>
      </w:r>
      <w:r w:rsidR="003114ED" w:rsidRPr="00A35C16">
        <w:rPr>
          <w:rFonts w:ascii="Arial" w:hAnsi="Arial" w:cs="Arial"/>
          <w:sz w:val="24"/>
          <w:szCs w:val="24"/>
          <w:lang w:val="es-PR"/>
        </w:rPr>
        <w:t>-</w:t>
      </w:r>
      <w:r w:rsidR="005A335E" w:rsidRPr="00A35C16">
        <w:rPr>
          <w:rFonts w:ascii="Arial" w:hAnsi="Arial" w:cs="Arial"/>
          <w:sz w:val="24"/>
          <w:szCs w:val="24"/>
          <w:lang w:val="es-PR"/>
        </w:rPr>
        <w:t xml:space="preserve"> se han realizado conversatorios, reuniones y congresos que han redundando en la interacción de representantes de diferentes sectores </w:t>
      </w:r>
      <w:r w:rsidR="003114ED" w:rsidRPr="00A35C16">
        <w:rPr>
          <w:rFonts w:ascii="Arial" w:hAnsi="Arial" w:cs="Arial"/>
          <w:sz w:val="24"/>
          <w:szCs w:val="24"/>
          <w:lang w:val="es-PR"/>
        </w:rPr>
        <w:t xml:space="preserve">para </w:t>
      </w:r>
      <w:r w:rsidR="005A335E" w:rsidRPr="00A35C16">
        <w:rPr>
          <w:rFonts w:ascii="Arial" w:hAnsi="Arial" w:cs="Arial"/>
          <w:sz w:val="24"/>
          <w:szCs w:val="24"/>
          <w:lang w:val="es-PR"/>
        </w:rPr>
        <w:t xml:space="preserve">compartir sus ideas, necesidades y recomendaciones. </w:t>
      </w:r>
    </w:p>
    <w:p w:rsidR="00D92C2F" w:rsidRPr="00A35C16" w:rsidRDefault="00D92C2F" w:rsidP="00137B04">
      <w:pPr>
        <w:pStyle w:val="ListParagraph"/>
        <w:numPr>
          <w:ilvl w:val="0"/>
          <w:numId w:val="15"/>
        </w:numPr>
        <w:spacing w:after="0" w:line="240" w:lineRule="auto"/>
        <w:jc w:val="both"/>
        <w:rPr>
          <w:rFonts w:ascii="Arial" w:hAnsi="Arial" w:cs="Arial"/>
          <w:sz w:val="24"/>
          <w:szCs w:val="24"/>
          <w:lang w:val="es-PR"/>
        </w:rPr>
      </w:pPr>
      <w:r w:rsidRPr="00A35C16">
        <w:rPr>
          <w:rFonts w:ascii="Arial" w:hAnsi="Arial" w:cs="Arial"/>
          <w:sz w:val="24"/>
          <w:szCs w:val="24"/>
          <w:lang w:val="es-PR"/>
        </w:rPr>
        <w:t xml:space="preserve">Auspicio de </w:t>
      </w:r>
      <w:r w:rsidR="005A335E" w:rsidRPr="00A35C16">
        <w:rPr>
          <w:rFonts w:ascii="Arial" w:hAnsi="Arial" w:cs="Arial"/>
          <w:sz w:val="24"/>
          <w:szCs w:val="24"/>
          <w:lang w:val="es-PR"/>
        </w:rPr>
        <w:t>proyectos de investigación relevantes para la educación y para la toma de decisiones</w:t>
      </w:r>
      <w:r w:rsidRPr="00A35C16">
        <w:rPr>
          <w:rFonts w:ascii="Arial" w:hAnsi="Arial" w:cs="Arial"/>
          <w:sz w:val="24"/>
          <w:szCs w:val="24"/>
          <w:lang w:val="es-PR"/>
        </w:rPr>
        <w:t xml:space="preserve">- </w:t>
      </w:r>
      <w:r w:rsidRPr="00A35C16">
        <w:rPr>
          <w:rFonts w:ascii="Arial" w:hAnsi="Arial" w:cs="Arial"/>
          <w:sz w:val="24"/>
          <w:szCs w:val="24"/>
          <w:lang w:val="es-ES"/>
        </w:rPr>
        <w:t>l</w:t>
      </w:r>
      <w:r w:rsidR="005A335E" w:rsidRPr="00A35C16">
        <w:rPr>
          <w:rFonts w:ascii="Arial" w:hAnsi="Arial" w:cs="Arial"/>
          <w:sz w:val="24"/>
          <w:szCs w:val="24"/>
          <w:lang w:val="es-ES"/>
        </w:rPr>
        <w:t>os estudios</w:t>
      </w:r>
      <w:r w:rsidRPr="00A35C16">
        <w:rPr>
          <w:rFonts w:ascii="Arial" w:hAnsi="Arial" w:cs="Arial"/>
          <w:sz w:val="24"/>
          <w:szCs w:val="24"/>
          <w:lang w:val="es-ES"/>
        </w:rPr>
        <w:t xml:space="preserve"> son</w:t>
      </w:r>
      <w:r w:rsidR="005A335E" w:rsidRPr="00A35C16">
        <w:rPr>
          <w:rFonts w:ascii="Arial" w:hAnsi="Arial" w:cs="Arial"/>
          <w:sz w:val="24"/>
          <w:szCs w:val="24"/>
          <w:lang w:val="es-ES"/>
        </w:rPr>
        <w:t xml:space="preserve"> financiados </w:t>
      </w:r>
      <w:r w:rsidRPr="00A35C16">
        <w:rPr>
          <w:rFonts w:ascii="Arial" w:hAnsi="Arial" w:cs="Arial"/>
          <w:sz w:val="24"/>
          <w:szCs w:val="24"/>
          <w:lang w:val="es-ES"/>
        </w:rPr>
        <w:t>y seleccionados</w:t>
      </w:r>
      <w:r w:rsidR="005A335E" w:rsidRPr="00A35C16">
        <w:rPr>
          <w:rFonts w:ascii="Arial" w:hAnsi="Arial" w:cs="Arial"/>
          <w:sz w:val="24"/>
          <w:szCs w:val="24"/>
          <w:lang w:val="es-ES"/>
        </w:rPr>
        <w:t xml:space="preserve"> mediante convocatoria anual con base en una agenda de investigación aprobada por el cuerpo rector y un riguroso sistema de evaluación ciega, evaluadores externos y rúbricas de evaluación. </w:t>
      </w:r>
    </w:p>
    <w:p w:rsidR="00777E32" w:rsidRPr="00A35C16" w:rsidRDefault="003114ED" w:rsidP="00137B04">
      <w:pPr>
        <w:pStyle w:val="ListParagraph"/>
        <w:numPr>
          <w:ilvl w:val="0"/>
          <w:numId w:val="15"/>
        </w:numPr>
        <w:spacing w:after="0" w:line="240" w:lineRule="auto"/>
        <w:jc w:val="both"/>
        <w:rPr>
          <w:rFonts w:ascii="Arial" w:hAnsi="Arial" w:cs="Arial"/>
          <w:sz w:val="24"/>
          <w:szCs w:val="24"/>
          <w:lang w:val="es-PR"/>
        </w:rPr>
      </w:pPr>
      <w:r w:rsidRPr="00A35C16">
        <w:rPr>
          <w:rFonts w:ascii="Arial" w:hAnsi="Arial" w:cs="Arial"/>
          <w:sz w:val="24"/>
          <w:szCs w:val="24"/>
          <w:lang w:val="es-PR"/>
        </w:rPr>
        <w:t>Publicaciones-</w:t>
      </w:r>
      <w:r w:rsidR="004E273B" w:rsidRPr="00A35C16">
        <w:rPr>
          <w:rFonts w:ascii="Arial" w:hAnsi="Arial" w:cs="Arial"/>
          <w:sz w:val="24"/>
          <w:szCs w:val="24"/>
          <w:lang w:val="es-PR"/>
        </w:rPr>
        <w:t xml:space="preserve"> se creó </w:t>
      </w:r>
      <w:r w:rsidR="001E36C5" w:rsidRPr="00A35C16">
        <w:rPr>
          <w:rFonts w:ascii="Arial" w:hAnsi="Arial" w:cs="Arial"/>
          <w:sz w:val="24"/>
          <w:szCs w:val="24"/>
          <w:lang w:val="es-PR"/>
        </w:rPr>
        <w:t>el</w:t>
      </w:r>
      <w:r w:rsidR="003F1AE2">
        <w:rPr>
          <w:rFonts w:ascii="Arial" w:hAnsi="Arial" w:cs="Arial"/>
          <w:sz w:val="24"/>
          <w:szCs w:val="24"/>
          <w:lang w:val="es-PR"/>
        </w:rPr>
        <w:t xml:space="preserve"> boletín i</w:t>
      </w:r>
      <w:r w:rsidR="00777E32" w:rsidRPr="00A35C16">
        <w:rPr>
          <w:rFonts w:ascii="Arial" w:hAnsi="Arial" w:cs="Arial"/>
          <w:sz w:val="24"/>
          <w:szCs w:val="24"/>
          <w:lang w:val="es-PR"/>
        </w:rPr>
        <w:t>nformativo electrónico</w:t>
      </w:r>
      <w:r w:rsidR="004E273B" w:rsidRPr="00A35C16">
        <w:rPr>
          <w:rFonts w:ascii="Arial" w:hAnsi="Arial" w:cs="Arial"/>
          <w:b/>
          <w:sz w:val="24"/>
          <w:szCs w:val="24"/>
          <w:lang w:val="es-PR"/>
        </w:rPr>
        <w:t xml:space="preserve"> </w:t>
      </w:r>
      <w:r w:rsidR="004E273B" w:rsidRPr="00A35C16">
        <w:rPr>
          <w:rFonts w:ascii="Arial" w:hAnsi="Arial" w:cs="Arial"/>
          <w:sz w:val="24"/>
          <w:szCs w:val="24"/>
          <w:lang w:val="es-PR"/>
        </w:rPr>
        <w:t>Sinopsis</w:t>
      </w:r>
      <w:r w:rsidR="003F1AE2">
        <w:rPr>
          <w:rFonts w:ascii="Arial" w:hAnsi="Arial" w:cs="Arial"/>
          <w:sz w:val="24"/>
          <w:szCs w:val="24"/>
          <w:lang w:val="es-PR"/>
        </w:rPr>
        <w:t xml:space="preserve">.  Además, </w:t>
      </w:r>
      <w:r w:rsidR="00777E32" w:rsidRPr="00A35C16">
        <w:rPr>
          <w:rFonts w:ascii="Arial" w:hAnsi="Arial" w:cs="Arial"/>
          <w:sz w:val="24"/>
          <w:szCs w:val="24"/>
          <w:lang w:val="es-PR"/>
        </w:rPr>
        <w:t>como resultad</w:t>
      </w:r>
      <w:r w:rsidR="001E36C5" w:rsidRPr="00A35C16">
        <w:rPr>
          <w:rFonts w:ascii="Arial" w:hAnsi="Arial" w:cs="Arial"/>
          <w:sz w:val="24"/>
          <w:szCs w:val="24"/>
          <w:lang w:val="es-PR"/>
        </w:rPr>
        <w:t xml:space="preserve">o de estudios de investigación </w:t>
      </w:r>
      <w:r w:rsidR="00777E32" w:rsidRPr="00A35C16">
        <w:rPr>
          <w:rFonts w:ascii="Arial" w:hAnsi="Arial" w:cs="Arial"/>
          <w:sz w:val="24"/>
          <w:szCs w:val="24"/>
          <w:lang w:val="es-PR"/>
        </w:rPr>
        <w:t>financiados  por el CEPR</w:t>
      </w:r>
      <w:r w:rsidR="001E36C5" w:rsidRPr="00A35C16">
        <w:rPr>
          <w:rFonts w:ascii="Arial" w:hAnsi="Arial" w:cs="Arial"/>
          <w:sz w:val="24"/>
          <w:szCs w:val="24"/>
          <w:lang w:val="es-PR"/>
        </w:rPr>
        <w:t>,</w:t>
      </w:r>
      <w:r w:rsidR="00777E32" w:rsidRPr="00A35C16">
        <w:rPr>
          <w:rFonts w:ascii="Arial" w:hAnsi="Arial" w:cs="Arial"/>
          <w:sz w:val="24"/>
          <w:szCs w:val="24"/>
          <w:lang w:val="es-PR"/>
        </w:rPr>
        <w:t xml:space="preserve"> un </w:t>
      </w:r>
      <w:r w:rsidR="00293ED3" w:rsidRPr="00A35C16">
        <w:rPr>
          <w:rFonts w:ascii="Arial" w:hAnsi="Arial" w:cs="Arial"/>
          <w:sz w:val="24"/>
          <w:szCs w:val="24"/>
          <w:lang w:val="es-PR"/>
        </w:rPr>
        <w:t xml:space="preserve">libro sobre </w:t>
      </w:r>
      <w:r w:rsidR="00777E32" w:rsidRPr="00A35C16">
        <w:rPr>
          <w:rFonts w:ascii="Arial" w:hAnsi="Arial" w:cs="Arial"/>
          <w:sz w:val="24"/>
          <w:szCs w:val="24"/>
          <w:lang w:val="es-PR"/>
        </w:rPr>
        <w:t>la historia de la Educación Básica</w:t>
      </w:r>
      <w:r w:rsidR="00293ED3" w:rsidRPr="00A35C16">
        <w:rPr>
          <w:rFonts w:ascii="Arial" w:hAnsi="Arial" w:cs="Arial"/>
          <w:sz w:val="24"/>
          <w:szCs w:val="24"/>
          <w:lang w:val="es-PR"/>
        </w:rPr>
        <w:t xml:space="preserve"> </w:t>
      </w:r>
      <w:r w:rsidR="00777E32" w:rsidRPr="00A35C16">
        <w:rPr>
          <w:rFonts w:ascii="Arial" w:hAnsi="Arial" w:cs="Arial"/>
          <w:sz w:val="24"/>
          <w:szCs w:val="24"/>
          <w:lang w:val="es-PR"/>
        </w:rPr>
        <w:t xml:space="preserve">y </w:t>
      </w:r>
      <w:r w:rsidR="001E36C5" w:rsidRPr="00A35C16">
        <w:rPr>
          <w:rFonts w:ascii="Arial" w:hAnsi="Arial" w:cs="Arial"/>
          <w:sz w:val="24"/>
          <w:szCs w:val="24"/>
          <w:lang w:val="es-PR"/>
        </w:rPr>
        <w:t xml:space="preserve">uno </w:t>
      </w:r>
      <w:r w:rsidR="00293ED3" w:rsidRPr="00A35C16">
        <w:rPr>
          <w:rFonts w:ascii="Arial" w:hAnsi="Arial" w:cs="Arial"/>
          <w:sz w:val="24"/>
          <w:szCs w:val="24"/>
          <w:lang w:val="es-PR"/>
        </w:rPr>
        <w:t xml:space="preserve">sobre </w:t>
      </w:r>
      <w:r w:rsidR="00777E32" w:rsidRPr="00A35C16">
        <w:rPr>
          <w:rFonts w:ascii="Arial" w:hAnsi="Arial" w:cs="Arial"/>
          <w:sz w:val="24"/>
          <w:szCs w:val="24"/>
          <w:lang w:val="es-PR"/>
        </w:rPr>
        <w:t>Postsecundaria Técnico Vocacional</w:t>
      </w:r>
      <w:r w:rsidR="003F1AE2">
        <w:rPr>
          <w:rFonts w:ascii="Arial" w:hAnsi="Arial" w:cs="Arial"/>
          <w:sz w:val="24"/>
          <w:szCs w:val="24"/>
          <w:lang w:val="es-PR"/>
        </w:rPr>
        <w:t xml:space="preserve"> en P.R</w:t>
      </w:r>
      <w:r w:rsidRPr="00A35C16">
        <w:rPr>
          <w:rFonts w:ascii="Arial" w:hAnsi="Arial" w:cs="Arial"/>
          <w:sz w:val="24"/>
          <w:szCs w:val="24"/>
          <w:lang w:val="es-PR"/>
        </w:rPr>
        <w:t>.</w:t>
      </w:r>
      <w:r w:rsidR="00777E32" w:rsidRPr="00A35C16">
        <w:rPr>
          <w:rFonts w:ascii="Arial" w:hAnsi="Arial" w:cs="Arial"/>
          <w:sz w:val="24"/>
          <w:szCs w:val="24"/>
          <w:lang w:val="es-PR"/>
        </w:rPr>
        <w:t xml:space="preserve"> </w:t>
      </w:r>
    </w:p>
    <w:p w:rsidR="00137B04" w:rsidRDefault="00137B04" w:rsidP="00137B04">
      <w:pPr>
        <w:pStyle w:val="Heading1"/>
        <w:spacing w:before="0"/>
        <w:jc w:val="both"/>
        <w:rPr>
          <w:rFonts w:ascii="Arial" w:hAnsi="Arial" w:cs="Arial"/>
          <w:b/>
          <w:color w:val="auto"/>
          <w:sz w:val="24"/>
          <w:szCs w:val="24"/>
          <w:lang w:val="es-PR"/>
        </w:rPr>
      </w:pPr>
    </w:p>
    <w:p w:rsidR="005A335E" w:rsidRPr="00A35C16" w:rsidRDefault="005A335E" w:rsidP="00137B04">
      <w:pPr>
        <w:pStyle w:val="Heading1"/>
        <w:spacing w:before="0"/>
        <w:jc w:val="both"/>
        <w:rPr>
          <w:rFonts w:ascii="Arial" w:hAnsi="Arial" w:cs="Arial"/>
          <w:b/>
          <w:color w:val="auto"/>
          <w:sz w:val="24"/>
          <w:szCs w:val="24"/>
          <w:lang w:val="es-PR"/>
        </w:rPr>
      </w:pPr>
      <w:r w:rsidRPr="00A35C16">
        <w:rPr>
          <w:rFonts w:ascii="Arial" w:hAnsi="Arial" w:cs="Arial"/>
          <w:b/>
          <w:color w:val="auto"/>
          <w:sz w:val="24"/>
          <w:szCs w:val="24"/>
          <w:lang w:val="es-PR"/>
        </w:rPr>
        <w:t>ÁREA DE ADMINISTRACIÓN y DIRECCIÓN EJECUTIVA</w:t>
      </w:r>
    </w:p>
    <w:p w:rsidR="005A335E" w:rsidRPr="00A35C16" w:rsidRDefault="005A335E" w:rsidP="00137B04">
      <w:pPr>
        <w:pStyle w:val="Heading2"/>
        <w:spacing w:before="0"/>
        <w:jc w:val="both"/>
        <w:rPr>
          <w:rFonts w:ascii="Arial" w:hAnsi="Arial" w:cs="Arial"/>
          <w:sz w:val="24"/>
          <w:szCs w:val="24"/>
          <w:lang w:val="es-PR"/>
        </w:rPr>
      </w:pPr>
    </w:p>
    <w:p w:rsidR="005A335E" w:rsidRPr="00A35C16" w:rsidRDefault="005A335E" w:rsidP="00137B04">
      <w:pPr>
        <w:jc w:val="both"/>
        <w:rPr>
          <w:rFonts w:ascii="Arial" w:hAnsi="Arial" w:cs="Arial"/>
        </w:rPr>
      </w:pPr>
      <w:r w:rsidRPr="00A35C16">
        <w:rPr>
          <w:rFonts w:ascii="Arial" w:hAnsi="Arial" w:cs="Arial"/>
        </w:rPr>
        <w:t xml:space="preserve">El Área de Administración tiene a su cargo las funciones relacionadas a contabilidad, presupuesto, recaudaciones, compras, administración de documentos, y servicios generales. Mientras que la Dirección Ejecutiva tiene bajo su cargo los asuntos del Cuerpo Rector del CEPR, la Oficina de Recursos Humanos, Oficina de Sistemas de Información y la Oficina de Asuntos Legales. </w:t>
      </w:r>
      <w:r w:rsidR="001E36C5" w:rsidRPr="00A35C16">
        <w:rPr>
          <w:rFonts w:ascii="Arial" w:hAnsi="Arial" w:cs="Arial"/>
        </w:rPr>
        <w:t xml:space="preserve">Entre sus logros </w:t>
      </w:r>
      <w:r w:rsidR="00B34B1C">
        <w:rPr>
          <w:rFonts w:ascii="Arial" w:hAnsi="Arial" w:cs="Arial"/>
        </w:rPr>
        <w:t xml:space="preserve">se </w:t>
      </w:r>
      <w:r w:rsidR="001E36C5" w:rsidRPr="00A35C16">
        <w:rPr>
          <w:rFonts w:ascii="Arial" w:hAnsi="Arial" w:cs="Arial"/>
        </w:rPr>
        <w:t xml:space="preserve">destacan: </w:t>
      </w:r>
    </w:p>
    <w:p w:rsidR="005A335E" w:rsidRPr="00A35C16" w:rsidRDefault="005A335E" w:rsidP="00137B04">
      <w:pPr>
        <w:jc w:val="both"/>
        <w:rPr>
          <w:rFonts w:ascii="Arial" w:hAnsi="Arial" w:cs="Arial"/>
          <w:color w:val="FF0000"/>
        </w:rPr>
      </w:pPr>
    </w:p>
    <w:p w:rsidR="005A335E" w:rsidRPr="00A35C16" w:rsidRDefault="0026082E" w:rsidP="00137B04">
      <w:pPr>
        <w:pStyle w:val="ListParagraph"/>
        <w:numPr>
          <w:ilvl w:val="0"/>
          <w:numId w:val="16"/>
        </w:numPr>
        <w:spacing w:after="0" w:line="240" w:lineRule="auto"/>
        <w:jc w:val="both"/>
        <w:rPr>
          <w:rFonts w:ascii="Arial" w:hAnsi="Arial" w:cs="Arial"/>
          <w:sz w:val="24"/>
          <w:szCs w:val="24"/>
          <w:lang w:val="es-PR"/>
        </w:rPr>
      </w:pPr>
      <w:r w:rsidRPr="00A35C16">
        <w:rPr>
          <w:rFonts w:ascii="Arial" w:hAnsi="Arial" w:cs="Arial"/>
          <w:sz w:val="24"/>
          <w:szCs w:val="24"/>
          <w:lang w:val="es-PR"/>
        </w:rPr>
        <w:t xml:space="preserve">Reducción de </w:t>
      </w:r>
      <w:r w:rsidR="005A335E" w:rsidRPr="00A35C16">
        <w:rPr>
          <w:rFonts w:ascii="Arial" w:hAnsi="Arial" w:cs="Arial"/>
          <w:sz w:val="24"/>
          <w:szCs w:val="24"/>
          <w:lang w:val="es-PR"/>
        </w:rPr>
        <w:t>los costos de operación del CEPR</w:t>
      </w:r>
      <w:r w:rsidR="003114ED" w:rsidRPr="00A35C16">
        <w:rPr>
          <w:rFonts w:ascii="Arial" w:hAnsi="Arial" w:cs="Arial"/>
          <w:sz w:val="24"/>
          <w:szCs w:val="24"/>
          <w:lang w:val="es-PR"/>
        </w:rPr>
        <w:t>-</w:t>
      </w:r>
      <w:r w:rsidR="00CC25BD" w:rsidRPr="00A35C16">
        <w:rPr>
          <w:rFonts w:ascii="Arial" w:hAnsi="Arial" w:cs="Arial"/>
          <w:sz w:val="24"/>
          <w:szCs w:val="24"/>
          <w:lang w:val="es-PR"/>
        </w:rPr>
        <w:t xml:space="preserve"> se implementaron</w:t>
      </w:r>
      <w:r w:rsidR="005A335E" w:rsidRPr="00A35C16">
        <w:rPr>
          <w:rFonts w:ascii="Arial" w:hAnsi="Arial" w:cs="Arial"/>
          <w:sz w:val="24"/>
          <w:szCs w:val="24"/>
          <w:lang w:val="es-PR"/>
        </w:rPr>
        <w:t xml:space="preserve"> medidas para generar ahorros en la operación</w:t>
      </w:r>
      <w:r w:rsidR="00E57FCF" w:rsidRPr="00A35C16">
        <w:rPr>
          <w:rFonts w:ascii="Arial" w:hAnsi="Arial" w:cs="Arial"/>
          <w:sz w:val="24"/>
          <w:szCs w:val="24"/>
          <w:lang w:val="es-PR"/>
        </w:rPr>
        <w:t xml:space="preserve">, </w:t>
      </w:r>
      <w:r w:rsidR="00CC25BD" w:rsidRPr="00A35C16">
        <w:rPr>
          <w:rFonts w:ascii="Arial" w:hAnsi="Arial" w:cs="Arial"/>
          <w:sz w:val="24"/>
          <w:szCs w:val="24"/>
          <w:lang w:val="es-PR"/>
        </w:rPr>
        <w:t xml:space="preserve"> se redujo</w:t>
      </w:r>
      <w:r w:rsidR="005A335E" w:rsidRPr="00A35C16">
        <w:rPr>
          <w:rFonts w:ascii="Arial" w:hAnsi="Arial" w:cs="Arial"/>
          <w:sz w:val="24"/>
          <w:szCs w:val="24"/>
          <w:lang w:val="es-PR"/>
        </w:rPr>
        <w:t xml:space="preserve"> costos en arrendamiento de instalaciones físicas, nómina de puestos de c</w:t>
      </w:r>
      <w:r w:rsidR="00CC25BD" w:rsidRPr="00A35C16">
        <w:rPr>
          <w:rFonts w:ascii="Arial" w:hAnsi="Arial" w:cs="Arial"/>
          <w:sz w:val="24"/>
          <w:szCs w:val="24"/>
          <w:lang w:val="es-PR"/>
        </w:rPr>
        <w:t>onfianza, lo cual resultó en un ahorro aproximado</w:t>
      </w:r>
      <w:r w:rsidR="005A335E" w:rsidRPr="00A35C16">
        <w:rPr>
          <w:rFonts w:ascii="Arial" w:hAnsi="Arial" w:cs="Arial"/>
          <w:sz w:val="24"/>
          <w:szCs w:val="24"/>
          <w:lang w:val="es-PR"/>
        </w:rPr>
        <w:t xml:space="preserve"> </w:t>
      </w:r>
      <w:r w:rsidR="00CC25BD" w:rsidRPr="00A35C16">
        <w:rPr>
          <w:rFonts w:ascii="Arial" w:hAnsi="Arial" w:cs="Arial"/>
          <w:sz w:val="24"/>
          <w:szCs w:val="24"/>
          <w:lang w:val="es-PR"/>
        </w:rPr>
        <w:t xml:space="preserve">de </w:t>
      </w:r>
      <w:r w:rsidR="005A335E" w:rsidRPr="00A35C16">
        <w:rPr>
          <w:rFonts w:ascii="Arial" w:hAnsi="Arial" w:cs="Arial"/>
          <w:sz w:val="24"/>
          <w:szCs w:val="24"/>
          <w:lang w:val="es-PR"/>
        </w:rPr>
        <w:t xml:space="preserve">$600,000. </w:t>
      </w:r>
    </w:p>
    <w:p w:rsidR="007C4E20" w:rsidRPr="00A35C16" w:rsidRDefault="0026082E" w:rsidP="00137B04">
      <w:pPr>
        <w:pStyle w:val="ListParagraph"/>
        <w:numPr>
          <w:ilvl w:val="0"/>
          <w:numId w:val="16"/>
        </w:numPr>
        <w:spacing w:after="0" w:line="240" w:lineRule="auto"/>
        <w:jc w:val="both"/>
        <w:rPr>
          <w:rFonts w:ascii="Arial" w:hAnsi="Arial" w:cs="Arial"/>
          <w:sz w:val="24"/>
          <w:szCs w:val="24"/>
          <w:lang w:val="es-PR"/>
        </w:rPr>
      </w:pPr>
      <w:r w:rsidRPr="00A35C16">
        <w:rPr>
          <w:rFonts w:ascii="Arial" w:hAnsi="Arial" w:cs="Arial"/>
          <w:sz w:val="24"/>
          <w:szCs w:val="24"/>
          <w:lang w:val="es-PR"/>
        </w:rPr>
        <w:t xml:space="preserve">Implementación de sistemas tecnológicos para el manejo de </w:t>
      </w:r>
      <w:r w:rsidR="00B240C6" w:rsidRPr="00A35C16">
        <w:rPr>
          <w:rFonts w:ascii="Arial" w:hAnsi="Arial" w:cs="Arial"/>
          <w:sz w:val="24"/>
          <w:szCs w:val="24"/>
          <w:lang w:val="es-PR"/>
        </w:rPr>
        <w:t>Recursos Humanos, Nómina</w:t>
      </w:r>
      <w:r w:rsidR="00036620" w:rsidRPr="00A35C16">
        <w:rPr>
          <w:rFonts w:ascii="Arial" w:hAnsi="Arial" w:cs="Arial"/>
          <w:sz w:val="24"/>
          <w:szCs w:val="24"/>
          <w:lang w:val="es-PR"/>
        </w:rPr>
        <w:t xml:space="preserve"> y Contabilidad</w:t>
      </w:r>
      <w:r w:rsidR="00EF6DC4" w:rsidRPr="00A35C16">
        <w:rPr>
          <w:rFonts w:ascii="Arial" w:hAnsi="Arial" w:cs="Arial"/>
          <w:sz w:val="24"/>
          <w:szCs w:val="24"/>
          <w:lang w:val="es-PR"/>
        </w:rPr>
        <w:t>.</w:t>
      </w:r>
    </w:p>
    <w:p w:rsidR="003114ED" w:rsidRPr="00A35C16" w:rsidRDefault="007A579B" w:rsidP="00137B04">
      <w:pPr>
        <w:pStyle w:val="ListParagraph"/>
        <w:numPr>
          <w:ilvl w:val="0"/>
          <w:numId w:val="16"/>
        </w:numPr>
        <w:spacing w:after="0" w:line="240" w:lineRule="auto"/>
        <w:jc w:val="both"/>
        <w:rPr>
          <w:rFonts w:ascii="Arial" w:hAnsi="Arial" w:cs="Arial"/>
          <w:sz w:val="24"/>
          <w:szCs w:val="24"/>
          <w:lang w:val="es-PR"/>
        </w:rPr>
      </w:pPr>
      <w:r w:rsidRPr="00A35C16">
        <w:rPr>
          <w:rFonts w:ascii="Arial" w:hAnsi="Arial" w:cs="Arial"/>
          <w:sz w:val="24"/>
          <w:szCs w:val="24"/>
          <w:lang w:val="es-PR"/>
        </w:rPr>
        <w:t>Servicios al Ciudadano</w:t>
      </w:r>
      <w:r w:rsidR="00B34B1C">
        <w:rPr>
          <w:rFonts w:ascii="Arial" w:hAnsi="Arial" w:cs="Arial"/>
          <w:b/>
          <w:sz w:val="24"/>
          <w:szCs w:val="24"/>
          <w:lang w:val="es-PR"/>
        </w:rPr>
        <w:t xml:space="preserve"> </w:t>
      </w:r>
      <w:r w:rsidR="00777E32" w:rsidRPr="00A35C16">
        <w:rPr>
          <w:rFonts w:ascii="Arial" w:hAnsi="Arial" w:cs="Arial"/>
          <w:sz w:val="24"/>
          <w:szCs w:val="24"/>
          <w:lang w:val="es-PR"/>
        </w:rPr>
        <w:t xml:space="preserve">– </w:t>
      </w:r>
      <w:r w:rsidR="007C4E20" w:rsidRPr="00A35C16">
        <w:rPr>
          <w:rFonts w:ascii="Arial" w:hAnsi="Arial" w:cs="Arial"/>
          <w:sz w:val="24"/>
          <w:szCs w:val="24"/>
          <w:lang w:val="es-PR"/>
        </w:rPr>
        <w:t xml:space="preserve">se estableció un </w:t>
      </w:r>
      <w:r w:rsidR="00777E32" w:rsidRPr="00A35C16">
        <w:rPr>
          <w:rFonts w:ascii="Arial" w:hAnsi="Arial" w:cs="Arial"/>
          <w:sz w:val="24"/>
          <w:szCs w:val="24"/>
          <w:lang w:val="es-PR"/>
        </w:rPr>
        <w:t xml:space="preserve">sistema de evaluación de satisfacción de los ciudadanos </w:t>
      </w:r>
      <w:r w:rsidR="00E57FCF" w:rsidRPr="00A35C16">
        <w:rPr>
          <w:rFonts w:ascii="Arial" w:hAnsi="Arial" w:cs="Arial"/>
          <w:sz w:val="24"/>
          <w:szCs w:val="24"/>
          <w:lang w:val="es-PR"/>
        </w:rPr>
        <w:t>sobre</w:t>
      </w:r>
      <w:r w:rsidR="00777E32" w:rsidRPr="00A35C16">
        <w:rPr>
          <w:rFonts w:ascii="Arial" w:hAnsi="Arial" w:cs="Arial"/>
          <w:sz w:val="24"/>
          <w:szCs w:val="24"/>
          <w:lang w:val="es-PR"/>
        </w:rPr>
        <w:t xml:space="preserve"> los </w:t>
      </w:r>
      <w:r w:rsidR="003114ED" w:rsidRPr="00A35C16">
        <w:rPr>
          <w:rFonts w:ascii="Arial" w:hAnsi="Arial" w:cs="Arial"/>
          <w:sz w:val="24"/>
          <w:szCs w:val="24"/>
          <w:lang w:val="es-PR"/>
        </w:rPr>
        <w:t>servicios ofrecidos por el CEPR.</w:t>
      </w:r>
      <w:r w:rsidR="00777E32" w:rsidRPr="00A35C16">
        <w:rPr>
          <w:rFonts w:ascii="Arial" w:hAnsi="Arial" w:cs="Arial"/>
          <w:sz w:val="24"/>
          <w:szCs w:val="24"/>
          <w:lang w:val="es-PR"/>
        </w:rPr>
        <w:t xml:space="preserve"> </w:t>
      </w:r>
      <w:r w:rsidR="003114ED" w:rsidRPr="00A35C16">
        <w:rPr>
          <w:rFonts w:ascii="Arial" w:hAnsi="Arial" w:cs="Arial"/>
          <w:sz w:val="24"/>
          <w:szCs w:val="24"/>
          <w:lang w:val="es-PR"/>
        </w:rPr>
        <w:t>U</w:t>
      </w:r>
      <w:r w:rsidR="00EF6DC4" w:rsidRPr="00A35C16">
        <w:rPr>
          <w:rFonts w:ascii="Arial" w:hAnsi="Arial" w:cs="Arial"/>
          <w:sz w:val="24"/>
          <w:szCs w:val="24"/>
          <w:lang w:val="es-PR"/>
        </w:rPr>
        <w:t xml:space="preserve">na </w:t>
      </w:r>
      <w:r w:rsidR="003114ED" w:rsidRPr="00A35C16">
        <w:rPr>
          <w:rFonts w:ascii="Arial" w:hAnsi="Arial" w:cs="Arial"/>
          <w:sz w:val="24"/>
          <w:szCs w:val="24"/>
          <w:lang w:val="es-PR"/>
        </w:rPr>
        <w:t>encuesta electrónica</w:t>
      </w:r>
      <w:r w:rsidR="00EF6DC4" w:rsidRPr="00A35C16">
        <w:rPr>
          <w:rFonts w:ascii="Arial" w:hAnsi="Arial" w:cs="Arial"/>
          <w:sz w:val="24"/>
          <w:szCs w:val="24"/>
          <w:lang w:val="es-PR"/>
        </w:rPr>
        <w:t xml:space="preserve"> reflejó que</w:t>
      </w:r>
      <w:r w:rsidR="00AD025B" w:rsidRPr="00A35C16">
        <w:rPr>
          <w:rFonts w:ascii="Arial" w:hAnsi="Arial" w:cs="Arial"/>
          <w:sz w:val="24"/>
          <w:szCs w:val="24"/>
          <w:lang w:val="es-PR"/>
        </w:rPr>
        <w:t xml:space="preserve"> un 86% catalogó los servicios como excelentes y un 12% como bueno</w:t>
      </w:r>
      <w:r w:rsidR="007C4E20" w:rsidRPr="00A35C16">
        <w:rPr>
          <w:rFonts w:ascii="Arial" w:hAnsi="Arial" w:cs="Arial"/>
          <w:sz w:val="24"/>
          <w:szCs w:val="24"/>
          <w:lang w:val="es-PR"/>
        </w:rPr>
        <w:t>. Además,  se</w:t>
      </w:r>
      <w:r w:rsidR="00777E32" w:rsidRPr="00A35C16">
        <w:rPr>
          <w:rFonts w:ascii="Arial" w:hAnsi="Arial" w:cs="Arial"/>
          <w:sz w:val="24"/>
          <w:szCs w:val="24"/>
          <w:lang w:val="es-PR"/>
        </w:rPr>
        <w:t xml:space="preserve"> </w:t>
      </w:r>
      <w:r w:rsidR="007C4E20" w:rsidRPr="00A35C16">
        <w:rPr>
          <w:rFonts w:ascii="Arial" w:hAnsi="Arial" w:cs="Arial"/>
          <w:sz w:val="24"/>
          <w:szCs w:val="24"/>
          <w:lang w:val="es-PR"/>
        </w:rPr>
        <w:t xml:space="preserve">crearon </w:t>
      </w:r>
      <w:r w:rsidR="00777E32" w:rsidRPr="00A35C16">
        <w:rPr>
          <w:rFonts w:ascii="Arial" w:hAnsi="Arial" w:cs="Arial"/>
          <w:sz w:val="24"/>
          <w:szCs w:val="24"/>
          <w:lang w:val="es-PR"/>
        </w:rPr>
        <w:t>corre</w:t>
      </w:r>
      <w:r w:rsidR="007C4E20" w:rsidRPr="00A35C16">
        <w:rPr>
          <w:rFonts w:ascii="Arial" w:hAnsi="Arial" w:cs="Arial"/>
          <w:sz w:val="24"/>
          <w:szCs w:val="24"/>
          <w:lang w:val="es-PR"/>
        </w:rPr>
        <w:t>os</w:t>
      </w:r>
      <w:r w:rsidR="00777E32" w:rsidRPr="00A35C16">
        <w:rPr>
          <w:rFonts w:ascii="Arial" w:hAnsi="Arial" w:cs="Arial"/>
          <w:sz w:val="24"/>
          <w:szCs w:val="24"/>
          <w:lang w:val="es-PR"/>
        </w:rPr>
        <w:t xml:space="preserve"> electrónico</w:t>
      </w:r>
      <w:r w:rsidR="007C4E20" w:rsidRPr="00A35C16">
        <w:rPr>
          <w:rFonts w:ascii="Arial" w:hAnsi="Arial" w:cs="Arial"/>
          <w:sz w:val="24"/>
          <w:szCs w:val="24"/>
          <w:lang w:val="es-PR"/>
        </w:rPr>
        <w:t>s</w:t>
      </w:r>
      <w:r w:rsidR="00777E32" w:rsidRPr="00A35C16">
        <w:rPr>
          <w:rFonts w:ascii="Arial" w:hAnsi="Arial" w:cs="Arial"/>
          <w:sz w:val="24"/>
          <w:szCs w:val="24"/>
          <w:lang w:val="es-PR"/>
        </w:rPr>
        <w:t xml:space="preserve"> para recibir preguntas relacionadas a lo</w:t>
      </w:r>
      <w:r w:rsidR="007C4E20" w:rsidRPr="00A35C16">
        <w:rPr>
          <w:rFonts w:ascii="Arial" w:hAnsi="Arial" w:cs="Arial"/>
          <w:sz w:val="24"/>
          <w:szCs w:val="24"/>
          <w:lang w:val="es-PR"/>
        </w:rPr>
        <w:t xml:space="preserve">s servicios que provee el CEPR </w:t>
      </w:r>
      <w:r w:rsidR="00777E32" w:rsidRPr="00A35C16">
        <w:rPr>
          <w:rFonts w:ascii="Arial" w:hAnsi="Arial" w:cs="Arial"/>
          <w:sz w:val="24"/>
          <w:szCs w:val="24"/>
          <w:lang w:val="es-PR"/>
        </w:rPr>
        <w:t xml:space="preserve">al igual </w:t>
      </w:r>
      <w:r w:rsidR="007C4E20" w:rsidRPr="00A35C16">
        <w:rPr>
          <w:rFonts w:ascii="Arial" w:hAnsi="Arial" w:cs="Arial"/>
          <w:sz w:val="24"/>
          <w:szCs w:val="24"/>
          <w:lang w:val="es-PR"/>
        </w:rPr>
        <w:t xml:space="preserve">que el </w:t>
      </w:r>
      <w:r w:rsidR="00777E32" w:rsidRPr="00A35C16">
        <w:rPr>
          <w:rFonts w:ascii="Arial" w:hAnsi="Arial" w:cs="Arial"/>
          <w:sz w:val="24"/>
          <w:szCs w:val="24"/>
          <w:lang w:val="es-PR"/>
        </w:rPr>
        <w:t xml:space="preserve">proceso </w:t>
      </w:r>
      <w:r w:rsidR="007C4E20" w:rsidRPr="00A35C16">
        <w:rPr>
          <w:rFonts w:ascii="Arial" w:hAnsi="Arial" w:cs="Arial"/>
          <w:sz w:val="24"/>
          <w:szCs w:val="24"/>
          <w:lang w:val="es-PR"/>
        </w:rPr>
        <w:t>para someter</w:t>
      </w:r>
      <w:r w:rsidR="00777E32" w:rsidRPr="00A35C16">
        <w:rPr>
          <w:rFonts w:ascii="Arial" w:hAnsi="Arial" w:cs="Arial"/>
          <w:sz w:val="24"/>
          <w:szCs w:val="24"/>
          <w:lang w:val="es-PR"/>
        </w:rPr>
        <w:t xml:space="preserve"> querellas. </w:t>
      </w:r>
    </w:p>
    <w:p w:rsidR="003114ED" w:rsidRPr="00A35C16" w:rsidRDefault="007A579B" w:rsidP="00137B04">
      <w:pPr>
        <w:pStyle w:val="ListParagraph"/>
        <w:numPr>
          <w:ilvl w:val="0"/>
          <w:numId w:val="16"/>
        </w:numPr>
        <w:spacing w:after="0" w:line="240" w:lineRule="auto"/>
        <w:jc w:val="both"/>
        <w:rPr>
          <w:rFonts w:ascii="Arial" w:hAnsi="Arial" w:cs="Arial"/>
          <w:sz w:val="24"/>
          <w:szCs w:val="24"/>
          <w:lang w:val="es-PR"/>
        </w:rPr>
      </w:pPr>
      <w:r w:rsidRPr="00A35C16">
        <w:rPr>
          <w:rFonts w:ascii="Arial" w:hAnsi="Arial" w:cs="Arial"/>
          <w:sz w:val="24"/>
          <w:szCs w:val="24"/>
          <w:lang w:val="es-PR"/>
        </w:rPr>
        <w:t>Desarrollos tecnológicos-</w:t>
      </w:r>
      <w:r w:rsidRPr="00A35C16">
        <w:rPr>
          <w:rFonts w:ascii="Arial" w:hAnsi="Arial" w:cs="Arial"/>
          <w:b/>
          <w:sz w:val="24"/>
          <w:szCs w:val="24"/>
          <w:lang w:val="es-PR"/>
        </w:rPr>
        <w:t xml:space="preserve"> </w:t>
      </w:r>
      <w:r w:rsidRPr="00A35C16">
        <w:rPr>
          <w:rFonts w:ascii="Arial" w:hAnsi="Arial" w:cs="Arial"/>
          <w:sz w:val="24"/>
          <w:szCs w:val="24"/>
          <w:lang w:val="es-PR"/>
        </w:rPr>
        <w:t>reestructuración de la página electrónica del CEPR con el propósito de hacer la navegación y búsqueda de información más accesible y eficiente</w:t>
      </w:r>
      <w:r w:rsidR="00CC1633" w:rsidRPr="00A35C16">
        <w:rPr>
          <w:rFonts w:ascii="Arial" w:hAnsi="Arial" w:cs="Arial"/>
          <w:sz w:val="24"/>
          <w:szCs w:val="24"/>
          <w:lang w:val="es-PR"/>
        </w:rPr>
        <w:t xml:space="preserve"> para los ciudadanos y las instituciones</w:t>
      </w:r>
      <w:r w:rsidRPr="00A35C16">
        <w:rPr>
          <w:rFonts w:ascii="Arial" w:hAnsi="Arial" w:cs="Arial"/>
          <w:sz w:val="24"/>
          <w:szCs w:val="24"/>
          <w:lang w:val="es-PR"/>
        </w:rPr>
        <w:t xml:space="preserve">. De igual </w:t>
      </w:r>
      <w:r w:rsidR="00CC1633" w:rsidRPr="00A35C16">
        <w:rPr>
          <w:rFonts w:ascii="Arial" w:hAnsi="Arial" w:cs="Arial"/>
          <w:sz w:val="24"/>
          <w:szCs w:val="24"/>
          <w:lang w:val="es-PR"/>
        </w:rPr>
        <w:t xml:space="preserve">manera </w:t>
      </w:r>
      <w:r w:rsidRPr="00A35C16">
        <w:rPr>
          <w:rFonts w:ascii="Arial" w:hAnsi="Arial" w:cs="Arial"/>
          <w:sz w:val="24"/>
          <w:szCs w:val="24"/>
          <w:lang w:val="es-PR"/>
        </w:rPr>
        <w:t xml:space="preserve">se </w:t>
      </w:r>
      <w:r w:rsidR="00E57FCF" w:rsidRPr="00A35C16">
        <w:rPr>
          <w:rFonts w:ascii="Arial" w:hAnsi="Arial" w:cs="Arial"/>
          <w:sz w:val="24"/>
          <w:szCs w:val="24"/>
          <w:lang w:val="es-PR"/>
        </w:rPr>
        <w:t>estableció</w:t>
      </w:r>
      <w:r w:rsidR="00CC1633" w:rsidRPr="00A35C16">
        <w:rPr>
          <w:rFonts w:ascii="Arial" w:hAnsi="Arial" w:cs="Arial"/>
          <w:sz w:val="24"/>
          <w:szCs w:val="24"/>
          <w:lang w:val="es-PR"/>
        </w:rPr>
        <w:t xml:space="preserve"> presencia en las redes sociales con el propósito de informar sobre las noticias de interés general y recursos del CEPR. </w:t>
      </w:r>
    </w:p>
    <w:p w:rsidR="00C27DC1" w:rsidRDefault="003114ED" w:rsidP="00137B04">
      <w:pPr>
        <w:pStyle w:val="ListParagraph"/>
        <w:numPr>
          <w:ilvl w:val="0"/>
          <w:numId w:val="16"/>
        </w:numPr>
        <w:spacing w:after="0" w:line="240" w:lineRule="auto"/>
        <w:jc w:val="both"/>
        <w:rPr>
          <w:rFonts w:ascii="Arial" w:hAnsi="Arial" w:cs="Arial"/>
          <w:sz w:val="24"/>
          <w:szCs w:val="24"/>
          <w:lang w:val="es-PR"/>
        </w:rPr>
      </w:pPr>
      <w:r w:rsidRPr="00A35C16">
        <w:rPr>
          <w:rFonts w:ascii="Arial" w:hAnsi="Arial" w:cs="Arial"/>
          <w:sz w:val="24"/>
          <w:szCs w:val="24"/>
          <w:lang w:val="es-PR"/>
        </w:rPr>
        <w:t>A</w:t>
      </w:r>
      <w:r w:rsidR="00C27DC1" w:rsidRPr="00A35C16">
        <w:rPr>
          <w:rFonts w:ascii="Arial" w:hAnsi="Arial" w:cs="Arial"/>
          <w:sz w:val="24"/>
          <w:szCs w:val="24"/>
          <w:lang w:val="es-PR"/>
        </w:rPr>
        <w:t xml:space="preserve">lianza </w:t>
      </w:r>
      <w:r w:rsidRPr="00A35C16">
        <w:rPr>
          <w:rFonts w:ascii="Arial" w:hAnsi="Arial" w:cs="Arial"/>
          <w:sz w:val="24"/>
          <w:szCs w:val="24"/>
          <w:lang w:val="es-PR"/>
        </w:rPr>
        <w:t>con</w:t>
      </w:r>
      <w:r w:rsidR="00C27DC1" w:rsidRPr="00A35C16">
        <w:rPr>
          <w:rFonts w:ascii="Arial" w:hAnsi="Arial" w:cs="Arial"/>
          <w:sz w:val="24"/>
          <w:szCs w:val="24"/>
          <w:lang w:val="es-PR"/>
        </w:rPr>
        <w:t xml:space="preserve"> el Programa Fogueo Laboral de Universia Puerto Rico</w:t>
      </w:r>
      <w:r w:rsidR="00E57FCF" w:rsidRPr="00A35C16">
        <w:rPr>
          <w:rFonts w:ascii="Arial" w:hAnsi="Arial" w:cs="Arial"/>
          <w:sz w:val="24"/>
          <w:szCs w:val="24"/>
          <w:lang w:val="es-PR"/>
        </w:rPr>
        <w:t>-</w:t>
      </w:r>
      <w:r w:rsidR="007C4E20" w:rsidRPr="00A35C16">
        <w:rPr>
          <w:rFonts w:ascii="Arial" w:hAnsi="Arial" w:cs="Arial"/>
          <w:sz w:val="24"/>
          <w:szCs w:val="24"/>
          <w:lang w:val="es-PR"/>
        </w:rPr>
        <w:t xml:space="preserve"> un proyecto creado para</w:t>
      </w:r>
      <w:r w:rsidR="00C27DC1" w:rsidRPr="00A35C16">
        <w:rPr>
          <w:rFonts w:ascii="Arial" w:hAnsi="Arial" w:cs="Arial"/>
          <w:sz w:val="24"/>
          <w:szCs w:val="24"/>
          <w:lang w:val="es-PR"/>
        </w:rPr>
        <w:t xml:space="preserve"> proveer una experiencia de trabajo a estudiantes de bachillerato que se encuentran en su último año de estud</w:t>
      </w:r>
      <w:r w:rsidR="00B91C0B" w:rsidRPr="00A35C16">
        <w:rPr>
          <w:rFonts w:ascii="Arial" w:hAnsi="Arial" w:cs="Arial"/>
          <w:sz w:val="24"/>
          <w:szCs w:val="24"/>
          <w:lang w:val="es-PR"/>
        </w:rPr>
        <w:t>io.  Además del CEPR, participaron</w:t>
      </w:r>
      <w:r w:rsidR="00C27DC1" w:rsidRPr="00A35C16">
        <w:rPr>
          <w:rFonts w:ascii="Arial" w:hAnsi="Arial" w:cs="Arial"/>
          <w:sz w:val="24"/>
          <w:szCs w:val="24"/>
          <w:lang w:val="es-PR"/>
        </w:rPr>
        <w:t xml:space="preserve"> de esta alianza la Oficina de Asuntos de la Juventud, la Compañía de Fomento y Exportación, y el Banco de Desarrollo Económico.</w:t>
      </w:r>
    </w:p>
    <w:p w:rsidR="003354B1" w:rsidRDefault="003354B1" w:rsidP="00137B04">
      <w:pPr>
        <w:pStyle w:val="ListParagraph"/>
        <w:spacing w:after="0" w:line="240" w:lineRule="auto"/>
        <w:jc w:val="both"/>
        <w:rPr>
          <w:rFonts w:ascii="Arial" w:hAnsi="Arial" w:cs="Arial"/>
          <w:sz w:val="24"/>
          <w:szCs w:val="24"/>
          <w:lang w:val="es-PR"/>
        </w:rPr>
      </w:pPr>
    </w:p>
    <w:p w:rsidR="002E6E55" w:rsidRDefault="002E6E55" w:rsidP="00137B04">
      <w:pPr>
        <w:pStyle w:val="ListParagraph"/>
        <w:spacing w:after="0" w:line="240" w:lineRule="auto"/>
        <w:jc w:val="both"/>
        <w:rPr>
          <w:rFonts w:ascii="Arial" w:hAnsi="Arial" w:cs="Arial"/>
          <w:sz w:val="24"/>
          <w:szCs w:val="24"/>
          <w:lang w:val="es-PR"/>
        </w:rPr>
      </w:pPr>
    </w:p>
    <w:p w:rsidR="002E6E55" w:rsidRDefault="002E6E55" w:rsidP="00137B04">
      <w:pPr>
        <w:pStyle w:val="ListParagraph"/>
        <w:spacing w:after="0" w:line="240" w:lineRule="auto"/>
        <w:jc w:val="both"/>
        <w:rPr>
          <w:rFonts w:ascii="Arial" w:hAnsi="Arial" w:cs="Arial"/>
          <w:sz w:val="24"/>
          <w:szCs w:val="24"/>
          <w:lang w:val="es-PR"/>
        </w:rPr>
      </w:pPr>
    </w:p>
    <w:p w:rsidR="002E6E55" w:rsidRDefault="002E6E55" w:rsidP="00137B04">
      <w:pPr>
        <w:ind w:firstLine="720"/>
        <w:jc w:val="both"/>
        <w:rPr>
          <w:rFonts w:ascii="Arial" w:hAnsi="Arial" w:cs="Arial"/>
        </w:rPr>
      </w:pPr>
      <w:r>
        <w:rPr>
          <w:rFonts w:ascii="Arial" w:hAnsi="Arial" w:cs="Arial"/>
        </w:rPr>
        <w:t>David Báez Dávila</w:t>
      </w:r>
    </w:p>
    <w:p w:rsidR="00544275" w:rsidRPr="002E6E55" w:rsidRDefault="002E6E55" w:rsidP="00137B04">
      <w:pPr>
        <w:ind w:firstLine="720"/>
        <w:jc w:val="both"/>
        <w:rPr>
          <w:rFonts w:ascii="Arial" w:hAnsi="Arial" w:cs="Arial"/>
        </w:rPr>
      </w:pPr>
      <w:r>
        <w:rPr>
          <w:rFonts w:ascii="Arial" w:hAnsi="Arial" w:cs="Arial"/>
        </w:rPr>
        <w:t>Director Ejecutivo Interino</w:t>
      </w:r>
    </w:p>
    <w:sectPr w:rsidR="00544275" w:rsidRPr="002E6E55" w:rsidSect="00137B04">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5F" w:rsidRDefault="00911F5F" w:rsidP="008B512D">
      <w:r>
        <w:separator/>
      </w:r>
    </w:p>
  </w:endnote>
  <w:endnote w:type="continuationSeparator" w:id="0">
    <w:p w:rsidR="00911F5F" w:rsidRDefault="00911F5F" w:rsidP="008B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994403"/>
      <w:docPartObj>
        <w:docPartGallery w:val="Page Numbers (Bottom of Page)"/>
        <w:docPartUnique/>
      </w:docPartObj>
    </w:sdtPr>
    <w:sdtEndPr>
      <w:rPr>
        <w:noProof/>
      </w:rPr>
    </w:sdtEndPr>
    <w:sdtContent>
      <w:p w:rsidR="008B512D" w:rsidRDefault="008B512D">
        <w:pPr>
          <w:pStyle w:val="Footer"/>
          <w:jc w:val="right"/>
        </w:pPr>
        <w:r>
          <w:fldChar w:fldCharType="begin"/>
        </w:r>
        <w:r>
          <w:instrText xml:space="preserve"> PAGE   \* MERGEFORMAT </w:instrText>
        </w:r>
        <w:r>
          <w:fldChar w:fldCharType="separate"/>
        </w:r>
        <w:r w:rsidR="003F0659">
          <w:rPr>
            <w:noProof/>
          </w:rPr>
          <w:t>1</w:t>
        </w:r>
        <w:r>
          <w:rPr>
            <w:noProof/>
          </w:rPr>
          <w:fldChar w:fldCharType="end"/>
        </w:r>
      </w:p>
    </w:sdtContent>
  </w:sdt>
  <w:p w:rsidR="008B512D" w:rsidRDefault="008B5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5F" w:rsidRDefault="00911F5F" w:rsidP="008B512D">
      <w:r>
        <w:separator/>
      </w:r>
    </w:p>
  </w:footnote>
  <w:footnote w:type="continuationSeparator" w:id="0">
    <w:p w:rsidR="00911F5F" w:rsidRDefault="00911F5F" w:rsidP="008B5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199"/>
    <w:multiLevelType w:val="hybridMultilevel"/>
    <w:tmpl w:val="D32E237C"/>
    <w:lvl w:ilvl="0" w:tplc="D2689636">
      <w:start w:val="1"/>
      <w:numFmt w:val="decimal"/>
      <w:lvlText w:val="%1."/>
      <w:lvlJc w:val="left"/>
      <w:pPr>
        <w:ind w:left="720" w:hanging="360"/>
      </w:pPr>
      <w:rPr>
        <w:rFonts w:hint="default"/>
        <w:b w:val="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105B2315"/>
    <w:multiLevelType w:val="hybridMultilevel"/>
    <w:tmpl w:val="696E40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3E4E5C"/>
    <w:multiLevelType w:val="hybridMultilevel"/>
    <w:tmpl w:val="B268C51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18582075"/>
    <w:multiLevelType w:val="hybridMultilevel"/>
    <w:tmpl w:val="9C32CCA4"/>
    <w:lvl w:ilvl="0" w:tplc="D2689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82F35"/>
    <w:multiLevelType w:val="hybridMultilevel"/>
    <w:tmpl w:val="D0E0CD5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1D225D08"/>
    <w:multiLevelType w:val="hybridMultilevel"/>
    <w:tmpl w:val="9F78505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15:restartNumberingAfterBreak="0">
    <w:nsid w:val="1FA40D71"/>
    <w:multiLevelType w:val="hybridMultilevel"/>
    <w:tmpl w:val="A056A7AE"/>
    <w:lvl w:ilvl="0" w:tplc="0409000F">
      <w:start w:val="1"/>
      <w:numFmt w:val="decimal"/>
      <w:lvlText w:val="%1."/>
      <w:lvlJc w:val="left"/>
      <w:pPr>
        <w:ind w:left="720" w:hanging="360"/>
      </w:pPr>
      <w:rPr>
        <w:rFont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15:restartNumberingAfterBreak="0">
    <w:nsid w:val="23872748"/>
    <w:multiLevelType w:val="hybridMultilevel"/>
    <w:tmpl w:val="81B22D00"/>
    <w:lvl w:ilvl="0" w:tplc="7A46375E">
      <w:start w:val="1"/>
      <w:numFmt w:val="decimal"/>
      <w:lvlText w:val="%1."/>
      <w:lvlJc w:val="left"/>
      <w:pPr>
        <w:ind w:left="1068" w:hanging="360"/>
      </w:pPr>
      <w:rPr>
        <w:rFonts w:hint="default"/>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8" w15:restartNumberingAfterBreak="0">
    <w:nsid w:val="30BB2B30"/>
    <w:multiLevelType w:val="hybridMultilevel"/>
    <w:tmpl w:val="1B2A74FA"/>
    <w:lvl w:ilvl="0" w:tplc="0409000F">
      <w:start w:val="1"/>
      <w:numFmt w:val="decimal"/>
      <w:lvlText w:val="%1."/>
      <w:lvlJc w:val="left"/>
      <w:pPr>
        <w:ind w:left="720" w:hanging="360"/>
      </w:pPr>
      <w:rPr>
        <w:rFont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38EC6948"/>
    <w:multiLevelType w:val="hybridMultilevel"/>
    <w:tmpl w:val="54522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D1382A"/>
    <w:multiLevelType w:val="hybridMultilevel"/>
    <w:tmpl w:val="F474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C7F18"/>
    <w:multiLevelType w:val="hybridMultilevel"/>
    <w:tmpl w:val="0D54C9BC"/>
    <w:lvl w:ilvl="0" w:tplc="0409000F">
      <w:start w:val="1"/>
      <w:numFmt w:val="decimal"/>
      <w:lvlText w:val="%1."/>
      <w:lvlJc w:val="left"/>
      <w:pPr>
        <w:ind w:left="720" w:hanging="360"/>
      </w:pPr>
      <w:rPr>
        <w:rFont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15:restartNumberingAfterBreak="0">
    <w:nsid w:val="6EFE57BB"/>
    <w:multiLevelType w:val="hybridMultilevel"/>
    <w:tmpl w:val="D32E237C"/>
    <w:lvl w:ilvl="0" w:tplc="D2689636">
      <w:start w:val="1"/>
      <w:numFmt w:val="decimal"/>
      <w:lvlText w:val="%1."/>
      <w:lvlJc w:val="left"/>
      <w:pPr>
        <w:ind w:left="720" w:hanging="360"/>
      </w:pPr>
      <w:rPr>
        <w:rFonts w:hint="default"/>
        <w:b w:val="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15:restartNumberingAfterBreak="0">
    <w:nsid w:val="6FEF774F"/>
    <w:multiLevelType w:val="hybridMultilevel"/>
    <w:tmpl w:val="08EA639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15:restartNumberingAfterBreak="0">
    <w:nsid w:val="71BD36BD"/>
    <w:multiLevelType w:val="hybridMultilevel"/>
    <w:tmpl w:val="5FF4A4C0"/>
    <w:lvl w:ilvl="0" w:tplc="6C86B3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D6977"/>
    <w:multiLevelType w:val="hybridMultilevel"/>
    <w:tmpl w:val="D89EC136"/>
    <w:lvl w:ilvl="0" w:tplc="D268963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65D67"/>
    <w:multiLevelType w:val="hybridMultilevel"/>
    <w:tmpl w:val="BDCE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3"/>
  </w:num>
  <w:num w:numId="5">
    <w:abstractNumId w:val="2"/>
  </w:num>
  <w:num w:numId="6">
    <w:abstractNumId w:val="4"/>
  </w:num>
  <w:num w:numId="7">
    <w:abstractNumId w:val="1"/>
  </w:num>
  <w:num w:numId="8">
    <w:abstractNumId w:val="16"/>
  </w:num>
  <w:num w:numId="9">
    <w:abstractNumId w:val="9"/>
  </w:num>
  <w:num w:numId="10">
    <w:abstractNumId w:val="15"/>
  </w:num>
  <w:num w:numId="11">
    <w:abstractNumId w:val="3"/>
  </w:num>
  <w:num w:numId="12">
    <w:abstractNumId w:val="12"/>
  </w:num>
  <w:num w:numId="13">
    <w:abstractNumId w:val="0"/>
  </w:num>
  <w:num w:numId="14">
    <w:abstractNumId w:val="6"/>
  </w:num>
  <w:num w:numId="15">
    <w:abstractNumId w:val="8"/>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F4"/>
    <w:rsid w:val="0003323A"/>
    <w:rsid w:val="00036620"/>
    <w:rsid w:val="00041CDB"/>
    <w:rsid w:val="00087D78"/>
    <w:rsid w:val="000A3CC9"/>
    <w:rsid w:val="000A6A14"/>
    <w:rsid w:val="000B7BDE"/>
    <w:rsid w:val="000D2AD9"/>
    <w:rsid w:val="000E5142"/>
    <w:rsid w:val="000E78A8"/>
    <w:rsid w:val="000F052D"/>
    <w:rsid w:val="00136CAB"/>
    <w:rsid w:val="00137B04"/>
    <w:rsid w:val="0015407C"/>
    <w:rsid w:val="001A213A"/>
    <w:rsid w:val="001C6AC4"/>
    <w:rsid w:val="001E36C5"/>
    <w:rsid w:val="00200807"/>
    <w:rsid w:val="00243725"/>
    <w:rsid w:val="0026082E"/>
    <w:rsid w:val="00261E54"/>
    <w:rsid w:val="0029226D"/>
    <w:rsid w:val="00293ED3"/>
    <w:rsid w:val="002E457F"/>
    <w:rsid w:val="002E6E55"/>
    <w:rsid w:val="002F42FF"/>
    <w:rsid w:val="003114ED"/>
    <w:rsid w:val="003354B1"/>
    <w:rsid w:val="00353CDE"/>
    <w:rsid w:val="00365268"/>
    <w:rsid w:val="00366333"/>
    <w:rsid w:val="00397E5C"/>
    <w:rsid w:val="003B2BB3"/>
    <w:rsid w:val="003D2ACC"/>
    <w:rsid w:val="003E21D9"/>
    <w:rsid w:val="003E5F9B"/>
    <w:rsid w:val="003F0659"/>
    <w:rsid w:val="003F1AE2"/>
    <w:rsid w:val="00465FF9"/>
    <w:rsid w:val="004E273B"/>
    <w:rsid w:val="004E7CB0"/>
    <w:rsid w:val="004F54E8"/>
    <w:rsid w:val="00516289"/>
    <w:rsid w:val="00522432"/>
    <w:rsid w:val="00522578"/>
    <w:rsid w:val="005419A2"/>
    <w:rsid w:val="00544275"/>
    <w:rsid w:val="005529C1"/>
    <w:rsid w:val="0057041E"/>
    <w:rsid w:val="005837D8"/>
    <w:rsid w:val="005873B1"/>
    <w:rsid w:val="005A335E"/>
    <w:rsid w:val="005E197C"/>
    <w:rsid w:val="00612758"/>
    <w:rsid w:val="006254FD"/>
    <w:rsid w:val="00635266"/>
    <w:rsid w:val="00680826"/>
    <w:rsid w:val="00685567"/>
    <w:rsid w:val="0069170E"/>
    <w:rsid w:val="006A0EE5"/>
    <w:rsid w:val="006C0C6D"/>
    <w:rsid w:val="0070482B"/>
    <w:rsid w:val="00721494"/>
    <w:rsid w:val="0072494E"/>
    <w:rsid w:val="007330F9"/>
    <w:rsid w:val="0074360B"/>
    <w:rsid w:val="0074667F"/>
    <w:rsid w:val="00750E62"/>
    <w:rsid w:val="00776F23"/>
    <w:rsid w:val="00777E32"/>
    <w:rsid w:val="00780592"/>
    <w:rsid w:val="00795D31"/>
    <w:rsid w:val="00796351"/>
    <w:rsid w:val="007A579B"/>
    <w:rsid w:val="007C4E20"/>
    <w:rsid w:val="00817998"/>
    <w:rsid w:val="008219FC"/>
    <w:rsid w:val="00847065"/>
    <w:rsid w:val="00852E67"/>
    <w:rsid w:val="00860706"/>
    <w:rsid w:val="008856E2"/>
    <w:rsid w:val="0088648D"/>
    <w:rsid w:val="008A4B39"/>
    <w:rsid w:val="008B512D"/>
    <w:rsid w:val="008B5AD9"/>
    <w:rsid w:val="008C5EAD"/>
    <w:rsid w:val="008E03F4"/>
    <w:rsid w:val="008E0506"/>
    <w:rsid w:val="008F7C4D"/>
    <w:rsid w:val="00911F5F"/>
    <w:rsid w:val="00933128"/>
    <w:rsid w:val="0094205B"/>
    <w:rsid w:val="00951AA4"/>
    <w:rsid w:val="0096258B"/>
    <w:rsid w:val="009A6515"/>
    <w:rsid w:val="00A04595"/>
    <w:rsid w:val="00A35C16"/>
    <w:rsid w:val="00A92405"/>
    <w:rsid w:val="00AD025B"/>
    <w:rsid w:val="00AD65BD"/>
    <w:rsid w:val="00B162EF"/>
    <w:rsid w:val="00B240C6"/>
    <w:rsid w:val="00B34B1C"/>
    <w:rsid w:val="00B91C0B"/>
    <w:rsid w:val="00B96FE6"/>
    <w:rsid w:val="00BC7D57"/>
    <w:rsid w:val="00C215B8"/>
    <w:rsid w:val="00C27DC1"/>
    <w:rsid w:val="00CC1633"/>
    <w:rsid w:val="00CC25BD"/>
    <w:rsid w:val="00CD1873"/>
    <w:rsid w:val="00CF03E7"/>
    <w:rsid w:val="00CF1AF2"/>
    <w:rsid w:val="00D06C0E"/>
    <w:rsid w:val="00D53EB0"/>
    <w:rsid w:val="00D871B4"/>
    <w:rsid w:val="00D91E14"/>
    <w:rsid w:val="00D92C2F"/>
    <w:rsid w:val="00DA5EFC"/>
    <w:rsid w:val="00E04069"/>
    <w:rsid w:val="00E10DFF"/>
    <w:rsid w:val="00E57FCF"/>
    <w:rsid w:val="00E62A22"/>
    <w:rsid w:val="00EA0121"/>
    <w:rsid w:val="00EB5628"/>
    <w:rsid w:val="00EB732C"/>
    <w:rsid w:val="00EC6962"/>
    <w:rsid w:val="00EF6DC4"/>
    <w:rsid w:val="00F01E6A"/>
    <w:rsid w:val="00F52629"/>
    <w:rsid w:val="00FE6841"/>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23478-5402-4BC5-833A-AD6CD354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F4"/>
    <w:pPr>
      <w:spacing w:after="0" w:line="240" w:lineRule="auto"/>
    </w:pPr>
    <w:rPr>
      <w:rFonts w:ascii="Times New Roman" w:eastAsia="Times New Roman" w:hAnsi="Times New Roman" w:cs="Times New Roman"/>
      <w:sz w:val="24"/>
      <w:szCs w:val="24"/>
      <w:lang w:val="es-PR"/>
    </w:rPr>
  </w:style>
  <w:style w:type="paragraph" w:styleId="Heading1">
    <w:name w:val="heading 1"/>
    <w:basedOn w:val="Normal"/>
    <w:next w:val="Normal"/>
    <w:link w:val="Heading1Char"/>
    <w:uiPriority w:val="9"/>
    <w:qFormat/>
    <w:rsid w:val="005A335E"/>
    <w:pPr>
      <w:keepNext/>
      <w:keepLines/>
      <w:spacing w:before="32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5A335E"/>
    <w:pPr>
      <w:keepNext/>
      <w:keepLines/>
      <w:spacing w:before="80"/>
      <w:outlineLvl w:val="1"/>
    </w:pPr>
    <w:rPr>
      <w:rFonts w:asciiTheme="majorHAnsi" w:eastAsiaTheme="majorEastAsia" w:hAnsiTheme="majorHAnsi" w:cstheme="majorBidi"/>
      <w:color w:val="404040" w:themeColor="text1" w:themeTint="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3F4"/>
    <w:pPr>
      <w:spacing w:after="200" w:line="276" w:lineRule="auto"/>
      <w:ind w:left="720"/>
      <w:contextualSpacing/>
    </w:pPr>
    <w:rPr>
      <w:rFonts w:asciiTheme="minorHAnsi" w:eastAsiaTheme="minorHAnsi" w:hAnsiTheme="minorHAnsi" w:cstheme="minorBidi"/>
      <w:sz w:val="22"/>
      <w:szCs w:val="22"/>
      <w:lang w:val="en-US"/>
    </w:rPr>
  </w:style>
  <w:style w:type="paragraph" w:styleId="BodyText">
    <w:name w:val="Body Text"/>
    <w:basedOn w:val="Normal"/>
    <w:link w:val="BodyTextChar"/>
    <w:uiPriority w:val="99"/>
    <w:rsid w:val="008E03F4"/>
    <w:pPr>
      <w:spacing w:line="360" w:lineRule="auto"/>
      <w:jc w:val="both"/>
    </w:pPr>
    <w:rPr>
      <w:rFonts w:ascii="Verdana" w:hAnsi="Verdana"/>
      <w:lang w:val="en-US"/>
    </w:rPr>
  </w:style>
  <w:style w:type="character" w:customStyle="1" w:styleId="BodyTextChar">
    <w:name w:val="Body Text Char"/>
    <w:basedOn w:val="DefaultParagraphFont"/>
    <w:link w:val="BodyText"/>
    <w:uiPriority w:val="99"/>
    <w:rsid w:val="008E03F4"/>
    <w:rPr>
      <w:rFonts w:ascii="Verdana" w:eastAsia="Times New Roman" w:hAnsi="Verdana" w:cs="Times New Roman"/>
      <w:sz w:val="24"/>
      <w:szCs w:val="24"/>
    </w:rPr>
  </w:style>
  <w:style w:type="character" w:customStyle="1" w:styleId="Heading1Char">
    <w:name w:val="Heading 1 Char"/>
    <w:basedOn w:val="DefaultParagraphFont"/>
    <w:link w:val="Heading1"/>
    <w:uiPriority w:val="9"/>
    <w:rsid w:val="005A33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335E"/>
    <w:rPr>
      <w:rFonts w:asciiTheme="majorHAnsi" w:eastAsiaTheme="majorEastAsia" w:hAnsiTheme="majorHAnsi" w:cstheme="majorBidi"/>
      <w:color w:val="404040" w:themeColor="text1" w:themeTint="BF"/>
      <w:sz w:val="28"/>
      <w:szCs w:val="28"/>
    </w:rPr>
  </w:style>
  <w:style w:type="paragraph" w:styleId="Title">
    <w:name w:val="Title"/>
    <w:basedOn w:val="Normal"/>
    <w:next w:val="Normal"/>
    <w:link w:val="TitleChar"/>
    <w:uiPriority w:val="10"/>
    <w:qFormat/>
    <w:rsid w:val="005A335E"/>
    <w:pPr>
      <w:contextualSpacing/>
    </w:pPr>
    <w:rPr>
      <w:rFonts w:asciiTheme="majorHAnsi" w:eastAsiaTheme="majorEastAsia" w:hAnsiTheme="majorHAnsi" w:cstheme="majorBidi"/>
      <w:color w:val="5B9BD5" w:themeColor="accent1"/>
      <w:spacing w:val="-10"/>
      <w:sz w:val="56"/>
      <w:szCs w:val="56"/>
      <w:lang w:val="en-US"/>
    </w:rPr>
  </w:style>
  <w:style w:type="character" w:customStyle="1" w:styleId="TitleChar">
    <w:name w:val="Title Char"/>
    <w:basedOn w:val="DefaultParagraphFont"/>
    <w:link w:val="Title"/>
    <w:uiPriority w:val="10"/>
    <w:rsid w:val="005A335E"/>
    <w:rPr>
      <w:rFonts w:asciiTheme="majorHAnsi" w:eastAsiaTheme="majorEastAsia" w:hAnsiTheme="majorHAnsi" w:cstheme="majorBidi"/>
      <w:color w:val="5B9BD5" w:themeColor="accent1"/>
      <w:spacing w:val="-10"/>
      <w:sz w:val="56"/>
      <w:szCs w:val="56"/>
    </w:rPr>
  </w:style>
  <w:style w:type="paragraph" w:styleId="Header">
    <w:name w:val="header"/>
    <w:basedOn w:val="Normal"/>
    <w:link w:val="HeaderChar"/>
    <w:uiPriority w:val="99"/>
    <w:unhideWhenUsed/>
    <w:rsid w:val="008B512D"/>
    <w:pPr>
      <w:tabs>
        <w:tab w:val="center" w:pos="4680"/>
        <w:tab w:val="right" w:pos="9360"/>
      </w:tabs>
    </w:pPr>
  </w:style>
  <w:style w:type="character" w:customStyle="1" w:styleId="HeaderChar">
    <w:name w:val="Header Char"/>
    <w:basedOn w:val="DefaultParagraphFont"/>
    <w:link w:val="Header"/>
    <w:uiPriority w:val="99"/>
    <w:rsid w:val="008B512D"/>
    <w:rPr>
      <w:rFonts w:ascii="Times New Roman" w:eastAsia="Times New Roman" w:hAnsi="Times New Roman" w:cs="Times New Roman"/>
      <w:sz w:val="24"/>
      <w:szCs w:val="24"/>
      <w:lang w:val="es-PR"/>
    </w:rPr>
  </w:style>
  <w:style w:type="paragraph" w:styleId="Footer">
    <w:name w:val="footer"/>
    <w:basedOn w:val="Normal"/>
    <w:link w:val="FooterChar"/>
    <w:uiPriority w:val="99"/>
    <w:unhideWhenUsed/>
    <w:rsid w:val="008B512D"/>
    <w:pPr>
      <w:tabs>
        <w:tab w:val="center" w:pos="4680"/>
        <w:tab w:val="right" w:pos="9360"/>
      </w:tabs>
    </w:pPr>
  </w:style>
  <w:style w:type="character" w:customStyle="1" w:styleId="FooterChar">
    <w:name w:val="Footer Char"/>
    <w:basedOn w:val="DefaultParagraphFont"/>
    <w:link w:val="Footer"/>
    <w:uiPriority w:val="99"/>
    <w:rsid w:val="008B512D"/>
    <w:rPr>
      <w:rFonts w:ascii="Times New Roman" w:eastAsia="Times New Roman" w:hAnsi="Times New Roman" w:cs="Times New Roman"/>
      <w:sz w:val="24"/>
      <w:szCs w:val="24"/>
      <w:lang w:val="es-PR"/>
    </w:rPr>
  </w:style>
  <w:style w:type="table" w:styleId="TableGrid">
    <w:name w:val="Table Grid"/>
    <w:basedOn w:val="TableNormal"/>
    <w:uiPriority w:val="39"/>
    <w:rsid w:val="001A21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A213A"/>
    <w:pPr>
      <w:spacing w:after="120"/>
      <w:ind w:left="360"/>
    </w:pPr>
    <w:rPr>
      <w:lang w:val="en-US"/>
    </w:rPr>
  </w:style>
  <w:style w:type="character" w:customStyle="1" w:styleId="BodyTextIndentChar">
    <w:name w:val="Body Text Indent Char"/>
    <w:basedOn w:val="DefaultParagraphFont"/>
    <w:link w:val="BodyTextIndent"/>
    <w:uiPriority w:val="99"/>
    <w:rsid w:val="001A21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0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41E"/>
    <w:rPr>
      <w:rFonts w:ascii="Segoe UI" w:eastAsia="Times New Roman" w:hAnsi="Segoe UI" w:cs="Segoe UI"/>
      <w:sz w:val="18"/>
      <w:szCs w:val="1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4815">
      <w:bodyDiv w:val="1"/>
      <w:marLeft w:val="0"/>
      <w:marRight w:val="0"/>
      <w:marTop w:val="0"/>
      <w:marBottom w:val="0"/>
      <w:divBdr>
        <w:top w:val="none" w:sz="0" w:space="0" w:color="auto"/>
        <w:left w:val="none" w:sz="0" w:space="0" w:color="auto"/>
        <w:bottom w:val="none" w:sz="0" w:space="0" w:color="auto"/>
        <w:right w:val="none" w:sz="0" w:space="0" w:color="auto"/>
      </w:divBdr>
    </w:div>
    <w:div w:id="6458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31424E5C5BA42A6FD4178F6D8E684" ma:contentTypeVersion="0" ma:contentTypeDescription="Create a new document." ma:contentTypeScope="" ma:versionID="757b7aa27e56d1d066bb3756a0d3a28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4AC60-5E1E-433E-9D52-27D8E255D571}"/>
</file>

<file path=customXml/itemProps2.xml><?xml version="1.0" encoding="utf-8"?>
<ds:datastoreItem xmlns:ds="http://schemas.openxmlformats.org/officeDocument/2006/customXml" ds:itemID="{51BDC159-5516-44EE-AB84-9344A8325190}"/>
</file>

<file path=customXml/itemProps3.xml><?xml version="1.0" encoding="utf-8"?>
<ds:datastoreItem xmlns:ds="http://schemas.openxmlformats.org/officeDocument/2006/customXml" ds:itemID="{AAEF6184-F605-442B-9CA1-3B846AF06BC1}"/>
</file>

<file path=customXml/itemProps4.xml><?xml version="1.0" encoding="utf-8"?>
<ds:datastoreItem xmlns:ds="http://schemas.openxmlformats.org/officeDocument/2006/customXml" ds:itemID="{CC5AF660-72F8-48EB-8FA6-C7B49183077D}"/>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Baez Davila</dc:creator>
  <cp:keywords/>
  <dc:description/>
  <cp:lastModifiedBy>Nivia Santiago</cp:lastModifiedBy>
  <cp:revision>2</cp:revision>
  <cp:lastPrinted>2016-10-12T20:19:00Z</cp:lastPrinted>
  <dcterms:created xsi:type="dcterms:W3CDTF">2016-10-14T14:01:00Z</dcterms:created>
  <dcterms:modified xsi:type="dcterms:W3CDTF">2016-10-14T14:01:00Z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0x010100D5F31424E5C5BA42A6FD4178F6D8E684</vt:lpwstr>
  </property>
</Properties>
</file>